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BC0" w:rsidRDefault="00A50BC0" w:rsidP="00A50BC0">
      <w:pPr>
        <w:tabs>
          <w:tab w:val="left" w:pos="6804"/>
        </w:tabs>
        <w:ind w:firstLine="4649"/>
        <w:rPr>
          <w:szCs w:val="24"/>
          <w:lang w:eastAsia="lt-LT"/>
        </w:rPr>
      </w:pPr>
      <w:r>
        <w:rPr>
          <w:szCs w:val="24"/>
          <w:lang w:eastAsia="lt-LT"/>
        </w:rPr>
        <w:t xml:space="preserve">Valstybės ir savivaldybių įstaigų darbuotojų </w:t>
      </w:r>
    </w:p>
    <w:p w:rsidR="00A50BC0" w:rsidRDefault="00A50BC0" w:rsidP="00A50BC0">
      <w:pPr>
        <w:tabs>
          <w:tab w:val="left" w:pos="6804"/>
        </w:tabs>
        <w:ind w:firstLine="4649"/>
        <w:rPr>
          <w:szCs w:val="24"/>
          <w:lang w:eastAsia="lt-LT"/>
        </w:rPr>
      </w:pPr>
      <w:r>
        <w:rPr>
          <w:szCs w:val="24"/>
          <w:lang w:eastAsia="lt-LT"/>
        </w:rPr>
        <w:t>veiklos vertinimo tvarkos aprašo</w:t>
      </w:r>
    </w:p>
    <w:p w:rsidR="00A50BC0" w:rsidRDefault="00A50BC0" w:rsidP="00A50BC0">
      <w:pPr>
        <w:tabs>
          <w:tab w:val="left" w:pos="6804"/>
        </w:tabs>
        <w:ind w:firstLine="4649"/>
        <w:rPr>
          <w:lang w:eastAsia="ar-SA"/>
        </w:rPr>
      </w:pPr>
      <w:r>
        <w:rPr>
          <w:lang w:eastAsia="ar-SA"/>
        </w:rPr>
        <w:t>priedas</w:t>
      </w:r>
    </w:p>
    <w:p w:rsidR="00A50BC0" w:rsidRDefault="00A50BC0" w:rsidP="00A50BC0">
      <w:pPr>
        <w:tabs>
          <w:tab w:val="left" w:pos="6237"/>
          <w:tab w:val="right" w:pos="8306"/>
        </w:tabs>
        <w:rPr>
          <w:sz w:val="20"/>
          <w:lang w:eastAsia="lt-LT"/>
        </w:rPr>
      </w:pPr>
    </w:p>
    <w:p w:rsidR="00A50BC0" w:rsidRDefault="00A50BC0" w:rsidP="00A50BC0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(Veiklos vertinimo išvados forma)</w:t>
      </w:r>
    </w:p>
    <w:p w:rsidR="00A50BC0" w:rsidRDefault="00A50BC0" w:rsidP="00A50BC0">
      <w:pPr>
        <w:tabs>
          <w:tab w:val="left" w:pos="14656"/>
        </w:tabs>
        <w:jc w:val="center"/>
        <w:rPr>
          <w:szCs w:val="24"/>
          <w:lang w:eastAsia="lt-LT"/>
        </w:rPr>
      </w:pPr>
    </w:p>
    <w:p w:rsidR="00A50BC0" w:rsidRPr="008A130E" w:rsidRDefault="00A50BC0" w:rsidP="00A50BC0">
      <w:pPr>
        <w:tabs>
          <w:tab w:val="left" w:pos="14656"/>
        </w:tabs>
        <w:jc w:val="center"/>
        <w:rPr>
          <w:b/>
          <w:szCs w:val="24"/>
          <w:lang w:eastAsia="lt-LT"/>
        </w:rPr>
      </w:pPr>
      <w:proofErr w:type="spellStart"/>
      <w:r w:rsidRPr="008A130E">
        <w:rPr>
          <w:b/>
          <w:szCs w:val="24"/>
          <w:lang w:eastAsia="lt-LT"/>
        </w:rPr>
        <w:t>Plinkšių</w:t>
      </w:r>
      <w:proofErr w:type="spellEnd"/>
      <w:r w:rsidRPr="008A130E">
        <w:rPr>
          <w:b/>
          <w:szCs w:val="24"/>
          <w:lang w:eastAsia="lt-LT"/>
        </w:rPr>
        <w:t xml:space="preserve"> globos namai </w:t>
      </w:r>
    </w:p>
    <w:p w:rsidR="00A50BC0" w:rsidRDefault="00A50BC0" w:rsidP="00A50BC0">
      <w:pPr>
        <w:tabs>
          <w:tab w:val="left" w:pos="14656"/>
        </w:tabs>
        <w:jc w:val="center"/>
        <w:rPr>
          <w:sz w:val="20"/>
          <w:lang w:eastAsia="lt-LT"/>
        </w:rPr>
      </w:pPr>
      <w:r>
        <w:rPr>
          <w:sz w:val="20"/>
          <w:lang w:eastAsia="lt-LT"/>
        </w:rPr>
        <w:t>(valstybės ar savivaldybės įstaigos pavadinimas)</w:t>
      </w:r>
    </w:p>
    <w:p w:rsidR="00A50BC0" w:rsidRDefault="00A50BC0" w:rsidP="00A50BC0">
      <w:pPr>
        <w:tabs>
          <w:tab w:val="left" w:pos="14656"/>
        </w:tabs>
        <w:jc w:val="center"/>
        <w:rPr>
          <w:szCs w:val="24"/>
          <w:lang w:eastAsia="lt-LT"/>
        </w:rPr>
      </w:pPr>
    </w:p>
    <w:p w:rsidR="00A50BC0" w:rsidRPr="008A130E" w:rsidRDefault="00A50BC0" w:rsidP="00A50BC0">
      <w:pPr>
        <w:tabs>
          <w:tab w:val="left" w:pos="14656"/>
        </w:tabs>
        <w:jc w:val="center"/>
        <w:rPr>
          <w:b/>
          <w:szCs w:val="24"/>
          <w:lang w:eastAsia="lt-LT"/>
        </w:rPr>
      </w:pPr>
      <w:r w:rsidRPr="008A130E">
        <w:rPr>
          <w:b/>
          <w:szCs w:val="24"/>
          <w:lang w:eastAsia="lt-LT"/>
        </w:rPr>
        <w:t xml:space="preserve">Direktorė Birutė </w:t>
      </w:r>
      <w:proofErr w:type="spellStart"/>
      <w:r w:rsidRPr="008A130E">
        <w:rPr>
          <w:b/>
          <w:szCs w:val="24"/>
          <w:lang w:eastAsia="lt-LT"/>
        </w:rPr>
        <w:t>Vaičkienė</w:t>
      </w:r>
      <w:proofErr w:type="spellEnd"/>
      <w:r w:rsidRPr="008A130E">
        <w:rPr>
          <w:b/>
          <w:szCs w:val="24"/>
          <w:lang w:eastAsia="lt-LT"/>
        </w:rPr>
        <w:t xml:space="preserve"> </w:t>
      </w:r>
    </w:p>
    <w:p w:rsidR="00A50BC0" w:rsidRDefault="00A50BC0" w:rsidP="00A50BC0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(darbuotojo / biudžetinės įstaigos vadovo pareigos, vardas ir pavardė)</w:t>
      </w:r>
    </w:p>
    <w:p w:rsidR="00A50BC0" w:rsidRDefault="00A50BC0" w:rsidP="00A50BC0">
      <w:pPr>
        <w:jc w:val="center"/>
        <w:rPr>
          <w:sz w:val="20"/>
          <w:lang w:eastAsia="lt-LT"/>
        </w:rPr>
      </w:pPr>
    </w:p>
    <w:p w:rsidR="00A50BC0" w:rsidRDefault="00A50BC0" w:rsidP="00A50BC0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VEIKLOS VERTINIMO IŠVADA</w:t>
      </w:r>
    </w:p>
    <w:p w:rsidR="00A50BC0" w:rsidRDefault="00A50BC0" w:rsidP="00A50BC0">
      <w:pPr>
        <w:jc w:val="center"/>
        <w:rPr>
          <w:sz w:val="20"/>
          <w:lang w:eastAsia="lt-LT"/>
        </w:rPr>
      </w:pPr>
    </w:p>
    <w:p w:rsidR="00A50BC0" w:rsidRDefault="00A50BC0" w:rsidP="00A50BC0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2023 01 23  Nr. ________</w:t>
      </w:r>
    </w:p>
    <w:p w:rsidR="00A50BC0" w:rsidRDefault="00A50BC0" w:rsidP="00A50BC0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 xml:space="preserve">                                    (data)</w:t>
      </w:r>
      <w:r>
        <w:rPr>
          <w:sz w:val="20"/>
          <w:lang w:eastAsia="lt-LT"/>
        </w:rPr>
        <w:tab/>
      </w:r>
      <w:r>
        <w:rPr>
          <w:sz w:val="20"/>
          <w:lang w:eastAsia="lt-LT"/>
        </w:rPr>
        <w:tab/>
      </w:r>
      <w:r>
        <w:rPr>
          <w:sz w:val="20"/>
          <w:lang w:eastAsia="lt-LT"/>
        </w:rPr>
        <w:tab/>
      </w:r>
    </w:p>
    <w:p w:rsidR="00A50BC0" w:rsidRDefault="00A50BC0" w:rsidP="00A50BC0">
      <w:pPr>
        <w:tabs>
          <w:tab w:val="left" w:pos="3828"/>
        </w:tabs>
        <w:jc w:val="center"/>
        <w:rPr>
          <w:szCs w:val="24"/>
          <w:lang w:eastAsia="lt-LT"/>
        </w:rPr>
      </w:pPr>
      <w:proofErr w:type="spellStart"/>
      <w:r>
        <w:rPr>
          <w:szCs w:val="24"/>
          <w:lang w:eastAsia="lt-LT"/>
        </w:rPr>
        <w:t>Plinkšės</w:t>
      </w:r>
      <w:proofErr w:type="spellEnd"/>
      <w:r>
        <w:rPr>
          <w:szCs w:val="24"/>
          <w:lang w:eastAsia="lt-LT"/>
        </w:rPr>
        <w:t xml:space="preserve"> </w:t>
      </w:r>
    </w:p>
    <w:p w:rsidR="00A50BC0" w:rsidRDefault="00A50BC0" w:rsidP="00A50BC0">
      <w:pPr>
        <w:tabs>
          <w:tab w:val="left" w:pos="3828"/>
        </w:tabs>
        <w:jc w:val="center"/>
        <w:rPr>
          <w:sz w:val="20"/>
          <w:lang w:eastAsia="lt-LT"/>
        </w:rPr>
      </w:pPr>
      <w:r>
        <w:rPr>
          <w:sz w:val="20"/>
          <w:lang w:eastAsia="lt-LT"/>
        </w:rPr>
        <w:t>(sudarymo vieta)</w:t>
      </w:r>
    </w:p>
    <w:p w:rsidR="00A50BC0" w:rsidRDefault="00A50BC0" w:rsidP="00A50BC0">
      <w:pPr>
        <w:jc w:val="center"/>
        <w:rPr>
          <w:szCs w:val="24"/>
          <w:lang w:eastAsia="lt-LT"/>
        </w:rPr>
      </w:pPr>
    </w:p>
    <w:p w:rsidR="00A50BC0" w:rsidRDefault="00A50BC0" w:rsidP="00A50BC0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:rsidR="00A50BC0" w:rsidRDefault="00A50BC0" w:rsidP="00A50BC0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PASIEKTI IR PLANUOJAMI REZULTATAI</w:t>
      </w:r>
    </w:p>
    <w:p w:rsidR="00A50BC0" w:rsidRDefault="00A50BC0" w:rsidP="00A50BC0">
      <w:pPr>
        <w:jc w:val="center"/>
        <w:rPr>
          <w:szCs w:val="24"/>
          <w:lang w:eastAsia="lt-LT"/>
        </w:rPr>
      </w:pPr>
    </w:p>
    <w:p w:rsidR="00A50BC0" w:rsidRDefault="00A50BC0" w:rsidP="00A50BC0">
      <w:pPr>
        <w:tabs>
          <w:tab w:val="left" w:pos="284"/>
        </w:tabs>
        <w:ind w:left="426" w:hanging="360"/>
        <w:rPr>
          <w:b/>
          <w:szCs w:val="24"/>
          <w:lang w:eastAsia="lt-LT"/>
        </w:rPr>
      </w:pPr>
      <w:r>
        <w:rPr>
          <w:rFonts w:eastAsia="Calibri"/>
          <w:b/>
          <w:szCs w:val="24"/>
          <w:lang w:eastAsia="lt-LT"/>
        </w:rPr>
        <w:t>1.</w:t>
      </w:r>
      <w:r>
        <w:rPr>
          <w:rFonts w:eastAsia="Calibri"/>
          <w:b/>
          <w:szCs w:val="24"/>
          <w:lang w:eastAsia="lt-LT"/>
        </w:rPr>
        <w:tab/>
      </w:r>
      <w:r>
        <w:rPr>
          <w:b/>
          <w:szCs w:val="24"/>
          <w:lang w:eastAsia="lt-LT"/>
        </w:rPr>
        <w:t>Pagrindiniai praėjusių kalendorinių metų veiklos rezultatai</w:t>
      </w:r>
    </w:p>
    <w:p w:rsidR="00A50BC0" w:rsidRDefault="00A50BC0" w:rsidP="00A50BC0">
      <w:pPr>
        <w:ind w:firstLine="142"/>
        <w:rPr>
          <w:szCs w:val="24"/>
          <w:lang w:eastAsia="lt-LT"/>
        </w:rPr>
      </w:pPr>
      <w:r>
        <w:rPr>
          <w:szCs w:val="24"/>
          <w:lang w:eastAsia="lt-LT"/>
        </w:rPr>
        <w:t>(pildo darbuotojas / biudžetinės įstaigos vadovas)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2266"/>
        <w:gridCol w:w="2548"/>
        <w:gridCol w:w="2773"/>
      </w:tblGrid>
      <w:tr w:rsidR="00A50BC0" w:rsidTr="006D3C5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C0" w:rsidRPr="0043771E" w:rsidRDefault="00A50BC0" w:rsidP="006D3C50">
            <w:pPr>
              <w:spacing w:line="276" w:lineRule="auto"/>
              <w:jc w:val="center"/>
              <w:rPr>
                <w:b/>
                <w:bCs/>
                <w:szCs w:val="24"/>
                <w:lang w:eastAsia="lt-LT"/>
              </w:rPr>
            </w:pPr>
            <w:r w:rsidRPr="0043771E">
              <w:rPr>
                <w:b/>
                <w:bCs/>
                <w:szCs w:val="24"/>
                <w:lang w:eastAsia="lt-LT"/>
              </w:rPr>
              <w:t xml:space="preserve">Metinės užduotys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C0" w:rsidRPr="0043771E" w:rsidRDefault="00A50BC0" w:rsidP="006D3C50">
            <w:pPr>
              <w:spacing w:line="276" w:lineRule="auto"/>
              <w:ind w:firstLine="62"/>
              <w:jc w:val="center"/>
              <w:rPr>
                <w:b/>
                <w:bCs/>
                <w:szCs w:val="24"/>
                <w:lang w:eastAsia="lt-LT"/>
              </w:rPr>
            </w:pPr>
            <w:r w:rsidRPr="0043771E">
              <w:rPr>
                <w:b/>
                <w:bCs/>
                <w:szCs w:val="24"/>
                <w:lang w:eastAsia="lt-LT"/>
              </w:rPr>
              <w:t>Siektini rezultatai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C0" w:rsidRPr="0043771E" w:rsidRDefault="00A50BC0" w:rsidP="006D3C50">
            <w:pPr>
              <w:spacing w:line="276" w:lineRule="auto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Nustatyti rezultatų vertinimo rodikliai (kiekybiniai, kokybiniai, laiko ir kiti rodikliai, kuriais vadovaudamasis tiesioginis darbuotojo vadovas / į pareigas priimantis ar jo įgaliotas asmuo vertina, ar nustatytos užduotys įvykdytos)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C0" w:rsidRPr="0043771E" w:rsidRDefault="00A50BC0" w:rsidP="006D3C50">
            <w:pPr>
              <w:spacing w:line="276" w:lineRule="auto"/>
              <w:ind w:firstLine="62"/>
              <w:jc w:val="center"/>
              <w:rPr>
                <w:b/>
                <w:bCs/>
                <w:szCs w:val="24"/>
                <w:lang w:eastAsia="lt-LT"/>
              </w:rPr>
            </w:pPr>
            <w:r w:rsidRPr="0043771E">
              <w:rPr>
                <w:b/>
                <w:bCs/>
                <w:szCs w:val="24"/>
                <w:lang w:eastAsia="lt-LT"/>
              </w:rPr>
              <w:t xml:space="preserve">Pasiekti rezultatai </w:t>
            </w:r>
          </w:p>
        </w:tc>
      </w:tr>
      <w:tr w:rsidR="00A50BC0" w:rsidTr="006D3C5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C0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  <w:r w:rsidRPr="00CE5D9E">
              <w:rPr>
                <w:szCs w:val="24"/>
                <w:lang w:eastAsia="lt-LT"/>
              </w:rPr>
              <w:t>2.1. Užtikrinti  biudžetinės įstaigos veiklą ir teikiamų paslaugų kokybę</w:t>
            </w:r>
          </w:p>
          <w:p w:rsidR="00A50BC0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C0" w:rsidRDefault="00A50BC0" w:rsidP="006D3C50">
            <w:pPr>
              <w:spacing w:line="276" w:lineRule="auto"/>
              <w:jc w:val="both"/>
              <w:rPr>
                <w:szCs w:val="24"/>
                <w:lang w:eastAsia="lt-LT"/>
              </w:rPr>
            </w:pPr>
            <w:r w:rsidRPr="00C951D4">
              <w:rPr>
                <w:szCs w:val="24"/>
                <w:lang w:eastAsia="lt-LT"/>
              </w:rPr>
              <w:t>.Organizacijos kokybės politiką taip organizuoti, kad būtų siekiama  kuo efektyvesnio paslaugų gavėjų įgalinimo . 2022 metų veiklos plano tiksl</w:t>
            </w:r>
            <w:r>
              <w:rPr>
                <w:szCs w:val="24"/>
                <w:lang w:eastAsia="lt-LT"/>
              </w:rPr>
              <w:t>us</w:t>
            </w:r>
            <w:r w:rsidRPr="00C951D4">
              <w:rPr>
                <w:szCs w:val="24"/>
                <w:lang w:eastAsia="lt-LT"/>
              </w:rPr>
              <w:t xml:space="preserve"> orientuoti į ilgalaikius įstaigos tikslus ir prioritetines veiklos kryptis 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0" w:rsidRDefault="00A50BC0" w:rsidP="006D3C50">
            <w:pPr>
              <w:tabs>
                <w:tab w:val="left" w:pos="440"/>
              </w:tabs>
              <w:ind w:left="14"/>
              <w:contextualSpacing/>
              <w:jc w:val="both"/>
            </w:pPr>
            <w:r>
              <w:t xml:space="preserve">1 Atlikti socialinės globos įstaigos teikiamų paslaugų kokybės įsivertinimą, atlikti lyginamąją analizę. ( Rezultatai ne prastesni, negu 2021 m)  </w:t>
            </w:r>
          </w:p>
          <w:p w:rsidR="00A50BC0" w:rsidRDefault="00A50BC0" w:rsidP="006D3C50">
            <w:pPr>
              <w:spacing w:line="276" w:lineRule="auto"/>
              <w:jc w:val="both"/>
              <w:rPr>
                <w:szCs w:val="24"/>
                <w:lang w:eastAsia="lt-LT"/>
              </w:rPr>
            </w:pPr>
            <w:r w:rsidRPr="005C29B4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 xml:space="preserve">2 </w:t>
            </w:r>
            <w:r w:rsidRPr="005C29B4">
              <w:rPr>
                <w:szCs w:val="24"/>
                <w:lang w:eastAsia="lt-LT"/>
              </w:rPr>
              <w:t xml:space="preserve">Siekiant </w:t>
            </w:r>
            <w:r>
              <w:rPr>
                <w:szCs w:val="24"/>
                <w:lang w:eastAsia="lt-LT"/>
              </w:rPr>
              <w:t>gerinti neįgaliesiems paslaugas, vadovautis universalaus dizaino gairėmis ir įrengti liftą.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C0" w:rsidRDefault="00A50BC0" w:rsidP="006D3C50">
            <w:pPr>
              <w:spacing w:line="276" w:lineRule="auto"/>
              <w:ind w:left="60"/>
              <w:rPr>
                <w:szCs w:val="24"/>
                <w:lang w:eastAsia="lt-LT"/>
              </w:rPr>
            </w:pPr>
            <w:r w:rsidRPr="002A17A8">
              <w:rPr>
                <w:b/>
                <w:szCs w:val="24"/>
                <w:lang w:eastAsia="lt-LT"/>
              </w:rPr>
              <w:t xml:space="preserve">Rezultatas pasiektas </w:t>
            </w:r>
          </w:p>
          <w:p w:rsidR="00A50BC0" w:rsidRDefault="00A50BC0" w:rsidP="006D3C50">
            <w:pPr>
              <w:spacing w:line="276" w:lineRule="auto"/>
              <w:ind w:left="60"/>
            </w:pPr>
            <w:proofErr w:type="spellStart"/>
            <w:r w:rsidRPr="003375AF">
              <w:rPr>
                <w:szCs w:val="24"/>
                <w:lang w:eastAsia="lt-LT"/>
              </w:rPr>
              <w:t>Plinkšių</w:t>
            </w:r>
            <w:proofErr w:type="spellEnd"/>
            <w:r w:rsidRPr="003375AF">
              <w:rPr>
                <w:szCs w:val="24"/>
                <w:lang w:eastAsia="lt-LT"/>
              </w:rPr>
              <w:t xml:space="preserve"> globos namai nuo 2019 metų vadovaudamasi EQUASS sertifikavimo , mokymo ir konsultavimo sistema įgyvendina Savanoriškos Europos socialinių paslaugų kokybės sistemos reikalavimus </w:t>
            </w:r>
            <w:r>
              <w:t xml:space="preserve">Atliktas socialinės globos įstaigos teikiamų paslaugų kokybės įsivertinimas, atlikta </w:t>
            </w:r>
            <w:r>
              <w:lastRenderedPageBreak/>
              <w:t xml:space="preserve">lyginamoji analizė. ( Rezultatai ne prastesni, negu 2021 m)  </w:t>
            </w:r>
          </w:p>
          <w:p w:rsidR="00A50BC0" w:rsidRPr="003375AF" w:rsidRDefault="00A50BC0" w:rsidP="006D3C50">
            <w:pPr>
              <w:spacing w:line="276" w:lineRule="auto"/>
              <w:ind w:left="60"/>
              <w:rPr>
                <w:szCs w:val="24"/>
                <w:lang w:eastAsia="lt-LT"/>
              </w:rPr>
            </w:pPr>
          </w:p>
          <w:p w:rsidR="00A50BC0" w:rsidRPr="003375AF" w:rsidRDefault="00A50BC0" w:rsidP="006D3C50">
            <w:pPr>
              <w:spacing w:line="276" w:lineRule="auto"/>
              <w:ind w:left="60"/>
              <w:jc w:val="both"/>
              <w:rPr>
                <w:szCs w:val="24"/>
                <w:lang w:eastAsia="lt-LT"/>
              </w:rPr>
            </w:pPr>
            <w:r w:rsidRPr="003375AF">
              <w:rPr>
                <w:szCs w:val="24"/>
                <w:lang w:eastAsia="lt-LT"/>
              </w:rPr>
              <w:t xml:space="preserve">Atliktas viešas pirkimas ir parengtas Lifto įrengimo </w:t>
            </w:r>
            <w:proofErr w:type="spellStart"/>
            <w:r w:rsidRPr="003375AF">
              <w:rPr>
                <w:szCs w:val="24"/>
                <w:lang w:eastAsia="lt-LT"/>
              </w:rPr>
              <w:t>Plinkšių</w:t>
            </w:r>
            <w:proofErr w:type="spellEnd"/>
            <w:r w:rsidRPr="003375AF">
              <w:rPr>
                <w:szCs w:val="24"/>
                <w:lang w:eastAsia="lt-LT"/>
              </w:rPr>
              <w:t xml:space="preserve"> globos namuose projektas, atlikta ekspertizė, gauti leidimai.  Dėl prasidėjusio karo Ukrainoje tiekėjai nesutiko įsipareigoti ir pasirašyti sutartį, dėl lifto įrengimo globos namuose. Neįgaliesiems asmenims įrengtas papildomas pandusas. </w:t>
            </w:r>
          </w:p>
          <w:p w:rsidR="00A50BC0" w:rsidRDefault="00A50BC0" w:rsidP="006D3C50">
            <w:pPr>
              <w:spacing w:line="276" w:lineRule="auto"/>
              <w:jc w:val="both"/>
              <w:rPr>
                <w:szCs w:val="24"/>
                <w:lang w:eastAsia="lt-LT"/>
              </w:rPr>
            </w:pPr>
          </w:p>
        </w:tc>
      </w:tr>
      <w:tr w:rsidR="00A50BC0" w:rsidTr="006D3C5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C0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</w:p>
          <w:p w:rsidR="00A50BC0" w:rsidRPr="005C29B4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  <w:r w:rsidRPr="005C29B4">
              <w:rPr>
                <w:szCs w:val="24"/>
                <w:lang w:eastAsia="lt-LT"/>
              </w:rPr>
              <w:t xml:space="preserve">2.2. </w:t>
            </w:r>
          </w:p>
          <w:p w:rsidR="00A50BC0" w:rsidRDefault="00A50BC0" w:rsidP="006D3C50">
            <w:pPr>
              <w:spacing w:line="276" w:lineRule="auto"/>
            </w:pPr>
            <w:r>
              <w:t>Įstaigos vidaus administravimo gerinimas ir veiklos efektyvumo didinimas</w:t>
            </w:r>
          </w:p>
          <w:p w:rsidR="00A50BC0" w:rsidRDefault="00A50BC0" w:rsidP="006D3C50">
            <w:pPr>
              <w:spacing w:line="276" w:lineRule="auto"/>
            </w:pPr>
          </w:p>
          <w:p w:rsidR="00A50BC0" w:rsidRDefault="00A50BC0" w:rsidP="006D3C50">
            <w:pPr>
              <w:spacing w:line="276" w:lineRule="auto"/>
            </w:pPr>
          </w:p>
          <w:p w:rsidR="00A50BC0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C0" w:rsidRDefault="00A50BC0" w:rsidP="006D3C50">
            <w:pPr>
              <w:spacing w:line="276" w:lineRule="auto"/>
              <w:jc w:val="both"/>
              <w:rPr>
                <w:szCs w:val="24"/>
                <w:lang w:eastAsia="lt-LT"/>
              </w:rPr>
            </w:pPr>
            <w:r>
              <w:t>Įgytas naujas įstaigos vadovo profesines kompetencijas pritaikyti įstaigos veikloje;</w:t>
            </w:r>
          </w:p>
          <w:p w:rsidR="00A50BC0" w:rsidRDefault="00A50BC0" w:rsidP="006D3C50">
            <w:pPr>
              <w:spacing w:line="276" w:lineRule="auto"/>
              <w:jc w:val="both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jc w:val="both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jc w:val="both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jc w:val="both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jc w:val="both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jc w:val="both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jc w:val="both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jc w:val="both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jc w:val="both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jc w:val="both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jc w:val="both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jc w:val="both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jc w:val="both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jc w:val="both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jc w:val="both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C0" w:rsidRDefault="00A50BC0" w:rsidP="006D3C50">
            <w:pPr>
              <w:spacing w:line="276" w:lineRule="auto"/>
            </w:pPr>
            <w:r>
              <w:t>1</w:t>
            </w:r>
            <w:r w:rsidRPr="005C29B4">
              <w:rPr>
                <w:szCs w:val="24"/>
                <w:lang w:eastAsia="lt-LT"/>
              </w:rPr>
              <w:t xml:space="preserve"> </w:t>
            </w:r>
            <w:r>
              <w:t>Gerinant įstaigos veiklą įsisavinti DVS .</w:t>
            </w:r>
          </w:p>
          <w:p w:rsidR="00A50BC0" w:rsidRDefault="00A50BC0" w:rsidP="006D3C50">
            <w:pPr>
              <w:spacing w:line="276" w:lineRule="auto"/>
            </w:pPr>
            <w:r>
              <w:t xml:space="preserve">2 Įrengti automobilių aikštelę prie įstaigos pastato. </w:t>
            </w:r>
          </w:p>
          <w:p w:rsidR="00A50BC0" w:rsidRDefault="00A50BC0" w:rsidP="006D3C50">
            <w:pPr>
              <w:spacing w:line="276" w:lineRule="auto"/>
              <w:jc w:val="both"/>
              <w:rPr>
                <w:szCs w:val="24"/>
                <w:lang w:eastAsia="lt-LT"/>
              </w:rPr>
            </w:pPr>
            <w:r>
              <w:t>3. Siekiant veiklos efektyvumo paruošti darbo su savanoriais programą. Pritraukti ne mažiau, kaip 1 savanorį.</w:t>
            </w:r>
          </w:p>
          <w:p w:rsidR="00A50BC0" w:rsidRDefault="00A50BC0" w:rsidP="006D3C50">
            <w:pPr>
              <w:spacing w:line="276" w:lineRule="auto"/>
              <w:jc w:val="both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jc w:val="both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jc w:val="both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jc w:val="both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jc w:val="both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jc w:val="both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jc w:val="both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jc w:val="both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jc w:val="both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jc w:val="both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jc w:val="both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jc w:val="both"/>
              <w:rPr>
                <w:szCs w:val="24"/>
                <w:lang w:eastAsia="lt-LT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C0" w:rsidRPr="003375AF" w:rsidRDefault="00A50BC0" w:rsidP="006D3C50">
            <w:pPr>
              <w:spacing w:line="276" w:lineRule="auto"/>
              <w:ind w:left="60"/>
              <w:rPr>
                <w:szCs w:val="24"/>
                <w:lang w:eastAsia="lt-LT"/>
              </w:rPr>
            </w:pPr>
            <w:r w:rsidRPr="002A17A8">
              <w:rPr>
                <w:b/>
                <w:szCs w:val="24"/>
                <w:lang w:eastAsia="lt-LT"/>
              </w:rPr>
              <w:t xml:space="preserve">Rezultatas pasiektas </w:t>
            </w:r>
          </w:p>
          <w:p w:rsidR="00A50BC0" w:rsidRDefault="00A50BC0" w:rsidP="006D3C50">
            <w:pPr>
              <w:spacing w:line="276" w:lineRule="auto"/>
              <w:jc w:val="both"/>
              <w:rPr>
                <w:bCs/>
                <w:iCs/>
                <w:szCs w:val="24"/>
                <w:lang w:eastAsia="lt-LT"/>
              </w:rPr>
            </w:pPr>
            <w:r w:rsidRPr="003375AF">
              <w:rPr>
                <w:bCs/>
                <w:iCs/>
                <w:szCs w:val="24"/>
                <w:lang w:eastAsia="lt-LT"/>
              </w:rPr>
              <w:t xml:space="preserve">Vykdant įstaigos veiklą naudojamasi DVS sistema, kuri padeda darbą atlikti operatyviau ir kokybiškiau. </w:t>
            </w:r>
          </w:p>
          <w:p w:rsidR="00A50BC0" w:rsidRPr="003375AF" w:rsidRDefault="00A50BC0" w:rsidP="006D3C50">
            <w:pPr>
              <w:spacing w:line="276" w:lineRule="auto"/>
              <w:jc w:val="both"/>
              <w:rPr>
                <w:bCs/>
                <w:iCs/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jc w:val="both"/>
              <w:rPr>
                <w:bCs/>
                <w:iCs/>
                <w:szCs w:val="24"/>
                <w:lang w:eastAsia="lt-LT"/>
              </w:rPr>
            </w:pPr>
            <w:r w:rsidRPr="003375AF">
              <w:rPr>
                <w:bCs/>
                <w:iCs/>
                <w:szCs w:val="24"/>
                <w:lang w:eastAsia="lt-LT"/>
              </w:rPr>
              <w:t xml:space="preserve">Automobilių aikštelė prie </w:t>
            </w:r>
            <w:proofErr w:type="spellStart"/>
            <w:r w:rsidRPr="003375AF">
              <w:rPr>
                <w:bCs/>
                <w:iCs/>
                <w:szCs w:val="24"/>
                <w:lang w:eastAsia="lt-LT"/>
              </w:rPr>
              <w:t>Plinkšių</w:t>
            </w:r>
            <w:proofErr w:type="spellEnd"/>
            <w:r w:rsidRPr="003375AF">
              <w:rPr>
                <w:bCs/>
                <w:iCs/>
                <w:szCs w:val="24"/>
                <w:lang w:eastAsia="lt-LT"/>
              </w:rPr>
              <w:t xml:space="preserve"> globos namų pastato įrengta. </w:t>
            </w:r>
          </w:p>
          <w:p w:rsidR="00A50BC0" w:rsidRPr="003375AF" w:rsidRDefault="00A50BC0" w:rsidP="006D3C50">
            <w:pPr>
              <w:spacing w:line="276" w:lineRule="auto"/>
              <w:jc w:val="both"/>
              <w:rPr>
                <w:bCs/>
                <w:iCs/>
                <w:szCs w:val="24"/>
                <w:lang w:eastAsia="lt-LT"/>
              </w:rPr>
            </w:pPr>
          </w:p>
          <w:p w:rsidR="00A50BC0" w:rsidRPr="003375AF" w:rsidRDefault="00A50BC0" w:rsidP="006D3C50">
            <w:pPr>
              <w:spacing w:line="276" w:lineRule="auto"/>
              <w:jc w:val="both"/>
              <w:rPr>
                <w:bCs/>
                <w:iCs/>
                <w:szCs w:val="24"/>
                <w:lang w:eastAsia="lt-LT"/>
              </w:rPr>
            </w:pPr>
            <w:r w:rsidRPr="003375AF">
              <w:rPr>
                <w:bCs/>
                <w:iCs/>
                <w:szCs w:val="24"/>
                <w:lang w:eastAsia="lt-LT"/>
              </w:rPr>
              <w:t>Vykdant darbą su s</w:t>
            </w:r>
            <w:r>
              <w:rPr>
                <w:bCs/>
                <w:iCs/>
                <w:szCs w:val="24"/>
                <w:lang w:eastAsia="lt-LT"/>
              </w:rPr>
              <w:t>avanoriais dalyvauta projekte „</w:t>
            </w:r>
            <w:r w:rsidRPr="003375AF">
              <w:rPr>
                <w:bCs/>
                <w:iCs/>
                <w:szCs w:val="24"/>
                <w:lang w:eastAsia="lt-LT"/>
              </w:rPr>
              <w:t xml:space="preserve">JUDAM“. Paruošta darbo su savanoriais programa. Ilgalaikę veiklą vykdė 1 savanorė. Trumpalaikėms veikloms buvo pritraukta ir kitų savanorių, paruoštas veiklų planas , su kuriuo supažindinti savanoriai. </w:t>
            </w:r>
          </w:p>
        </w:tc>
      </w:tr>
      <w:tr w:rsidR="00A50BC0" w:rsidTr="006D3C5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C0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  <w:r w:rsidRPr="00C951D4">
              <w:rPr>
                <w:szCs w:val="24"/>
                <w:lang w:eastAsia="lt-LT"/>
              </w:rPr>
              <w:lastRenderedPageBreak/>
              <w:t>2.3. Tobulinti savo ir darbuotojų profesinę kompetenciją</w:t>
            </w:r>
          </w:p>
          <w:p w:rsidR="00A50BC0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C0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  <w:r w:rsidRPr="00C951D4">
              <w:rPr>
                <w:szCs w:val="24"/>
                <w:lang w:eastAsia="lt-LT"/>
              </w:rPr>
              <w:lastRenderedPageBreak/>
              <w:t xml:space="preserve">Dalyvaujant mokymuose, seminaruose ir kitose kvalifikacijos kėlimo priemonėse , įgytas žinias pritaikyti praktikoje, siekti darbuotojų motyvacijos siekiant gyventojų įgalinimo ir socialinių paslaugų gerinimo </w:t>
            </w:r>
            <w:r>
              <w:rPr>
                <w:szCs w:val="24"/>
                <w:lang w:eastAsia="lt-LT"/>
              </w:rPr>
              <w:t>.</w:t>
            </w:r>
          </w:p>
          <w:p w:rsidR="00A50BC0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C0" w:rsidRDefault="00A50BC0" w:rsidP="006D3C50">
            <w:pPr>
              <w:spacing w:line="276" w:lineRule="auto"/>
            </w:pPr>
            <w:r>
              <w:rPr>
                <w:szCs w:val="24"/>
                <w:lang w:eastAsia="lt-LT"/>
              </w:rPr>
              <w:lastRenderedPageBreak/>
              <w:t xml:space="preserve">.  </w:t>
            </w:r>
          </w:p>
          <w:p w:rsidR="00A50BC0" w:rsidRDefault="00A50BC0" w:rsidP="006D3C50">
            <w:pPr>
              <w:spacing w:line="276" w:lineRule="auto"/>
            </w:pPr>
            <w:r w:rsidRPr="005C29B4">
              <w:rPr>
                <w:szCs w:val="24"/>
                <w:lang w:eastAsia="lt-LT"/>
              </w:rPr>
              <w:lastRenderedPageBreak/>
              <w:t xml:space="preserve">1 Paruošti darbuotojų metinius kvalifikacijos kėlimo planus.         </w:t>
            </w:r>
            <w:r>
              <w:t>Įgyvendinti  ne mažiau kaip 1 priemonę, pritaikant seminarų, konferencijų ar vizitų kitose įstaigose ar organizacijose metu įgytas žinias ar patirtį.</w:t>
            </w:r>
          </w:p>
          <w:p w:rsidR="00A50BC0" w:rsidRPr="005C29B4" w:rsidRDefault="00A50BC0" w:rsidP="006D3C50">
            <w:pPr>
              <w:spacing w:line="276" w:lineRule="auto"/>
            </w:pPr>
            <w:r w:rsidRPr="005C29B4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 xml:space="preserve">2 </w:t>
            </w:r>
            <w:r w:rsidRPr="005C29B4">
              <w:rPr>
                <w:szCs w:val="24"/>
                <w:lang w:eastAsia="lt-LT"/>
              </w:rPr>
              <w:t>Atlikti socialinių darbuotojų profesinės kompetencijos vertinimą</w:t>
            </w:r>
            <w:r>
              <w:rPr>
                <w:szCs w:val="24"/>
                <w:lang w:eastAsia="lt-LT"/>
              </w:rPr>
              <w:t xml:space="preserve"> ir lyginamąją analizę.    ( Rezultatai ne prastesni negu 2021 m)  </w:t>
            </w:r>
          </w:p>
          <w:p w:rsidR="00A50BC0" w:rsidRDefault="00A50BC0" w:rsidP="006D3C50">
            <w:pPr>
              <w:spacing w:line="276" w:lineRule="auto"/>
            </w:pPr>
          </w:p>
          <w:p w:rsidR="00A50BC0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C0" w:rsidRDefault="00A50BC0" w:rsidP="006D3C50">
            <w:pPr>
              <w:spacing w:line="276" w:lineRule="auto"/>
              <w:ind w:left="60"/>
              <w:rPr>
                <w:szCs w:val="24"/>
                <w:lang w:eastAsia="lt-LT"/>
              </w:rPr>
            </w:pPr>
            <w:r w:rsidRPr="002A17A8">
              <w:rPr>
                <w:b/>
                <w:szCs w:val="24"/>
                <w:lang w:eastAsia="lt-LT"/>
              </w:rPr>
              <w:lastRenderedPageBreak/>
              <w:t xml:space="preserve">Rezultatas pasiektas </w:t>
            </w:r>
          </w:p>
          <w:p w:rsidR="00A50BC0" w:rsidRPr="003375AF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  <w:r w:rsidRPr="003375AF">
              <w:rPr>
                <w:szCs w:val="24"/>
                <w:lang w:eastAsia="lt-LT"/>
              </w:rPr>
              <w:lastRenderedPageBreak/>
              <w:t xml:space="preserve">Darbuotojų metiniai kvalifikacijos planai paruošti ir daugiau kaip 100 </w:t>
            </w:r>
            <w:proofErr w:type="spellStart"/>
            <w:r w:rsidRPr="003375AF">
              <w:rPr>
                <w:szCs w:val="24"/>
                <w:lang w:eastAsia="lt-LT"/>
              </w:rPr>
              <w:t>proc</w:t>
            </w:r>
            <w:proofErr w:type="spellEnd"/>
            <w:r w:rsidRPr="003375AF">
              <w:rPr>
                <w:szCs w:val="24"/>
                <w:lang w:eastAsia="lt-LT"/>
              </w:rPr>
              <w:t xml:space="preserve"> įvykdyti . Mano kvalifikacijos kėlimo  valandų skaičius – 87. </w:t>
            </w:r>
          </w:p>
          <w:p w:rsidR="00A50BC0" w:rsidRPr="003375AF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  <w:r w:rsidRPr="003375AF">
              <w:rPr>
                <w:szCs w:val="24"/>
                <w:lang w:eastAsia="lt-LT"/>
              </w:rPr>
              <w:t>Dalyvavau LR SPPD vykdomoje socialinių įstaigų vadovų atestacijoje ir mano veikla buvo įvertinta suteikiant T</w:t>
            </w:r>
            <w:r>
              <w:rPr>
                <w:szCs w:val="24"/>
                <w:lang w:eastAsia="lt-LT"/>
              </w:rPr>
              <w:t>REČIĄ</w:t>
            </w:r>
            <w:r w:rsidRPr="003375AF">
              <w:rPr>
                <w:szCs w:val="24"/>
                <w:lang w:eastAsia="lt-LT"/>
              </w:rPr>
              <w:t xml:space="preserve"> kvalifikacinę kategoriją ( prilyginama aukščiausiai kvalifikacinei kategorijai).  Seminarų metu įgytas žinias pritaikau įstaigos veiklą organizuojant vadovaujantis Universalaus dizaino kriterijais – įrengta papildomai 10 vnt. lubinių keltuvų. </w:t>
            </w:r>
          </w:p>
          <w:p w:rsidR="00A50BC0" w:rsidRPr="003375AF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  <w:r w:rsidRPr="003375AF">
              <w:rPr>
                <w:szCs w:val="24"/>
                <w:lang w:eastAsia="lt-LT"/>
              </w:rPr>
              <w:t xml:space="preserve">Dalinantis gerąja darbo patirtimi suorganizuota respublikinė konferencija. Taip pat </w:t>
            </w:r>
            <w:proofErr w:type="spellStart"/>
            <w:r w:rsidRPr="003375AF">
              <w:rPr>
                <w:szCs w:val="24"/>
                <w:lang w:eastAsia="lt-LT"/>
              </w:rPr>
              <w:t>Plinkšių</w:t>
            </w:r>
            <w:proofErr w:type="spellEnd"/>
            <w:r w:rsidRPr="003375AF">
              <w:rPr>
                <w:szCs w:val="24"/>
                <w:lang w:eastAsia="lt-LT"/>
              </w:rPr>
              <w:t xml:space="preserve"> globos namai pasirinkti SSGĮVA susirinkimui organizuoti, kaip </w:t>
            </w:r>
            <w:proofErr w:type="spellStart"/>
            <w:r w:rsidRPr="003375AF">
              <w:rPr>
                <w:szCs w:val="24"/>
                <w:lang w:eastAsia="lt-LT"/>
              </w:rPr>
              <w:t>inovatyvi</w:t>
            </w:r>
            <w:proofErr w:type="spellEnd"/>
            <w:r w:rsidRPr="003375AF">
              <w:rPr>
                <w:szCs w:val="24"/>
                <w:lang w:eastAsia="lt-LT"/>
              </w:rPr>
              <w:t xml:space="preserve">, kokybiškas paslaugas teikianti įstaiga. </w:t>
            </w:r>
          </w:p>
          <w:p w:rsidR="00A50BC0" w:rsidRPr="005C29B4" w:rsidRDefault="00A50BC0" w:rsidP="006D3C50">
            <w:pPr>
              <w:spacing w:line="276" w:lineRule="auto"/>
            </w:pPr>
            <w:r w:rsidRPr="003375AF">
              <w:rPr>
                <w:szCs w:val="24"/>
                <w:lang w:eastAsia="lt-LT"/>
              </w:rPr>
              <w:t xml:space="preserve">Atliktas socialinių darbuotojų profesinės kompetencijos vertinimas ir lyginamoji analizė.    ( Rezultatai ne prastesni negu 2021 m)  </w:t>
            </w:r>
          </w:p>
          <w:p w:rsidR="00A50BC0" w:rsidRPr="00982BF7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</w:p>
        </w:tc>
      </w:tr>
    </w:tbl>
    <w:p w:rsidR="00A50BC0" w:rsidRDefault="00A50BC0" w:rsidP="00A50BC0">
      <w:pPr>
        <w:spacing w:line="276" w:lineRule="auto"/>
        <w:rPr>
          <w:b/>
          <w:szCs w:val="24"/>
          <w:lang w:eastAsia="lt-LT"/>
        </w:rPr>
      </w:pPr>
    </w:p>
    <w:p w:rsidR="00A50BC0" w:rsidRDefault="00A50BC0" w:rsidP="00A50BC0">
      <w:pPr>
        <w:spacing w:line="276" w:lineRule="auto"/>
        <w:rPr>
          <w:b/>
          <w:szCs w:val="24"/>
          <w:lang w:eastAsia="lt-LT"/>
        </w:rPr>
      </w:pPr>
    </w:p>
    <w:p w:rsidR="00A50BC0" w:rsidRDefault="00A50BC0" w:rsidP="00A50BC0">
      <w:pPr>
        <w:spacing w:line="276" w:lineRule="auto"/>
        <w:rPr>
          <w:b/>
          <w:szCs w:val="24"/>
          <w:lang w:eastAsia="lt-LT"/>
        </w:rPr>
      </w:pPr>
    </w:p>
    <w:p w:rsidR="00A50BC0" w:rsidRDefault="00A50BC0" w:rsidP="00A50BC0">
      <w:pPr>
        <w:spacing w:line="276" w:lineRule="auto"/>
        <w:rPr>
          <w:b/>
          <w:szCs w:val="24"/>
          <w:lang w:eastAsia="lt-LT"/>
        </w:rPr>
      </w:pPr>
    </w:p>
    <w:p w:rsidR="00A50BC0" w:rsidRDefault="00A50BC0" w:rsidP="00A50BC0">
      <w:pPr>
        <w:spacing w:line="276" w:lineRule="auto"/>
        <w:rPr>
          <w:b/>
          <w:szCs w:val="24"/>
          <w:lang w:eastAsia="lt-LT"/>
        </w:rPr>
      </w:pPr>
    </w:p>
    <w:p w:rsidR="00A50BC0" w:rsidRDefault="00A50BC0" w:rsidP="00A50BC0">
      <w:pPr>
        <w:spacing w:line="276" w:lineRule="auto"/>
        <w:rPr>
          <w:b/>
          <w:szCs w:val="24"/>
          <w:lang w:eastAsia="lt-LT"/>
        </w:rPr>
      </w:pPr>
    </w:p>
    <w:p w:rsidR="00A50BC0" w:rsidRDefault="00A50BC0" w:rsidP="00A50BC0">
      <w:pPr>
        <w:spacing w:line="276" w:lineRule="auto"/>
        <w:rPr>
          <w:b/>
          <w:szCs w:val="24"/>
          <w:lang w:eastAsia="lt-LT"/>
        </w:rPr>
      </w:pPr>
    </w:p>
    <w:p w:rsidR="00A50BC0" w:rsidRDefault="00A50BC0" w:rsidP="00A50BC0">
      <w:pPr>
        <w:spacing w:line="276" w:lineRule="auto"/>
        <w:rPr>
          <w:b/>
          <w:szCs w:val="24"/>
          <w:lang w:eastAsia="lt-LT"/>
        </w:rPr>
      </w:pPr>
    </w:p>
    <w:p w:rsidR="00A50BC0" w:rsidRDefault="00A50BC0" w:rsidP="00A50BC0">
      <w:pPr>
        <w:spacing w:line="276" w:lineRule="auto"/>
        <w:rPr>
          <w:b/>
          <w:szCs w:val="24"/>
          <w:lang w:eastAsia="lt-LT"/>
        </w:rPr>
      </w:pPr>
    </w:p>
    <w:p w:rsidR="00A50BC0" w:rsidRDefault="00A50BC0" w:rsidP="00A50BC0">
      <w:pPr>
        <w:spacing w:line="276" w:lineRule="auto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2. Einamųjų metų užduotys</w:t>
      </w:r>
    </w:p>
    <w:p w:rsidR="00A50BC0" w:rsidRDefault="00A50BC0" w:rsidP="00A50BC0">
      <w:pPr>
        <w:spacing w:line="276" w:lineRule="auto"/>
        <w:rPr>
          <w:szCs w:val="24"/>
          <w:lang w:eastAsia="lt-LT"/>
        </w:rPr>
      </w:pPr>
      <w:r>
        <w:rPr>
          <w:szCs w:val="24"/>
          <w:lang w:eastAsia="lt-LT"/>
        </w:rPr>
        <w:t>(nustatomos ne mažiau kaip 3 ir ne daugiau kaip 6 užduotys)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6"/>
        <w:gridCol w:w="3146"/>
        <w:gridCol w:w="3562"/>
      </w:tblGrid>
      <w:tr w:rsidR="00A50BC0" w:rsidTr="006D3C50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C0" w:rsidRPr="008A130E" w:rsidRDefault="00A50BC0" w:rsidP="006D3C50">
            <w:pPr>
              <w:spacing w:line="276" w:lineRule="auto"/>
              <w:jc w:val="center"/>
              <w:rPr>
                <w:b/>
                <w:szCs w:val="24"/>
                <w:lang w:eastAsia="lt-LT"/>
              </w:rPr>
            </w:pPr>
            <w:r w:rsidRPr="008A130E">
              <w:rPr>
                <w:b/>
                <w:szCs w:val="24"/>
                <w:lang w:eastAsia="lt-LT"/>
              </w:rPr>
              <w:t xml:space="preserve">Einamųjų metų užduotys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C0" w:rsidRPr="008A130E" w:rsidRDefault="00A50BC0" w:rsidP="006D3C50">
            <w:pPr>
              <w:spacing w:line="276" w:lineRule="auto"/>
              <w:ind w:firstLine="62"/>
              <w:jc w:val="center"/>
              <w:rPr>
                <w:b/>
                <w:szCs w:val="24"/>
                <w:lang w:eastAsia="lt-LT"/>
              </w:rPr>
            </w:pPr>
            <w:r w:rsidRPr="008A130E">
              <w:rPr>
                <w:b/>
                <w:szCs w:val="24"/>
                <w:lang w:eastAsia="lt-LT"/>
              </w:rPr>
              <w:t>Siektini rezultatai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C0" w:rsidRDefault="00A50BC0" w:rsidP="006D3C50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Nustatyti rezultatų vertinimo rodikliai (kiekybiniai, kokybiniai, laiko ir kiti rodikliai, kuriais vadovaudamasis tiesioginis darbuotojo vadovas / į pareigas priimantis</w:t>
            </w:r>
            <w:r>
              <w:rPr>
                <w:b/>
                <w:lang w:eastAsia="lt-LT"/>
              </w:rPr>
              <w:t xml:space="preserve"> ar </w:t>
            </w:r>
            <w:r>
              <w:rPr>
                <w:b/>
                <w:sz w:val="22"/>
                <w:szCs w:val="22"/>
                <w:lang w:eastAsia="lt-LT"/>
              </w:rPr>
              <w:t>jo įgaliotas asmuo vertina, ar nustatytos užduotys įvykdytos)</w:t>
            </w:r>
          </w:p>
        </w:tc>
      </w:tr>
      <w:tr w:rsidR="00A50BC0" w:rsidTr="006D3C50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C0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  <w:r w:rsidRPr="00CE5D9E">
              <w:rPr>
                <w:szCs w:val="24"/>
                <w:lang w:eastAsia="lt-LT"/>
              </w:rPr>
              <w:t>. Užtikrinti  biudžetinės įstaigos veiklą ir teikiamų paslaugų kokybę</w:t>
            </w:r>
          </w:p>
          <w:p w:rsidR="00A50BC0" w:rsidRPr="00CE5D9E" w:rsidRDefault="00A50BC0" w:rsidP="006D3C50">
            <w:pPr>
              <w:spacing w:line="276" w:lineRule="auto"/>
              <w:rPr>
                <w:szCs w:val="24"/>
                <w:highlight w:val="yellow"/>
                <w:lang w:eastAsia="lt-LT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0" w:rsidRPr="00313015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  <w:r w:rsidRPr="00313015">
              <w:rPr>
                <w:szCs w:val="24"/>
                <w:lang w:eastAsia="lt-LT"/>
              </w:rPr>
              <w:t xml:space="preserve">2.1. Inicijuotos priemonės įstaigos teikiamų paslaugų kokybės gerinimui, įsivertinti jų poreikį. 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0" w:rsidRPr="00313015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  <w:r w:rsidRPr="00313015">
              <w:rPr>
                <w:szCs w:val="24"/>
                <w:lang w:eastAsia="lt-LT"/>
              </w:rPr>
              <w:t xml:space="preserve"> 2.1.1 Įsivertinus įstaigos teikiamų paslaugų kokybę, įgyvendinta ne mažiau kaip viena priemonė, teikiamų paslaugų kokybės gerinimui .</w:t>
            </w:r>
          </w:p>
          <w:p w:rsidR="00A50BC0" w:rsidRPr="00313015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  <w:r w:rsidRPr="00313015">
              <w:rPr>
                <w:szCs w:val="24"/>
                <w:lang w:eastAsia="lt-LT"/>
              </w:rPr>
              <w:t>2.1.2 Inicijuoti naujas viešinimo priemones, formuojančias teigiamą požiūrį į teikiamas stacionarios globos paslaugas.</w:t>
            </w:r>
          </w:p>
          <w:p w:rsidR="00A50BC0" w:rsidRPr="00313015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  <w:r w:rsidRPr="00313015">
              <w:rPr>
                <w:szCs w:val="24"/>
                <w:lang w:eastAsia="lt-LT"/>
              </w:rPr>
              <w:t xml:space="preserve">2.1.3 Atlikti teikiamų socialinės globos paslaugų kokybės vertinimą, pasitelkiant gyventojų artimuosius, nustatant suinteresuotų šalių poreikius. </w:t>
            </w:r>
            <w:r>
              <w:rPr>
                <w:szCs w:val="24"/>
                <w:lang w:eastAsia="lt-LT"/>
              </w:rPr>
              <w:t xml:space="preserve">Rezultatai ne blogesni negu 2022 metais. </w:t>
            </w:r>
          </w:p>
          <w:p w:rsidR="00A50BC0" w:rsidRPr="00313015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</w:p>
        </w:tc>
      </w:tr>
      <w:tr w:rsidR="00A50BC0" w:rsidTr="006D3C50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C0" w:rsidRPr="00313015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  <w:r w:rsidRPr="00313015">
              <w:rPr>
                <w:szCs w:val="24"/>
                <w:lang w:eastAsia="lt-LT"/>
              </w:rPr>
              <w:t xml:space="preserve"> Gerinti darbuotojų darbo sąlygas ir stiprinti žmogiškuosius išteklius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0" w:rsidRPr="00313015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  <w:r w:rsidRPr="00313015">
              <w:rPr>
                <w:szCs w:val="24"/>
                <w:lang w:eastAsia="lt-LT"/>
              </w:rPr>
              <w:t xml:space="preserve">2.2. Darbuotojų darbo sąlygų gerinimas, sudarytos sąlygos kelti profesinę kvalifikaciją 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0" w:rsidRPr="00313015" w:rsidRDefault="00A50BC0" w:rsidP="006D3C50">
            <w:pPr>
              <w:spacing w:line="276" w:lineRule="auto"/>
            </w:pPr>
            <w:r w:rsidRPr="00313015">
              <w:t xml:space="preserve"> 2.2.1. Įgyvendintos ne mažiau kaip 2 priemonės gerinant darbuotojų darbo sąlygas </w:t>
            </w:r>
          </w:p>
          <w:p w:rsidR="00A50BC0" w:rsidRPr="00313015" w:rsidRDefault="00A50BC0" w:rsidP="006D3C50">
            <w:pPr>
              <w:spacing w:line="276" w:lineRule="auto"/>
            </w:pPr>
            <w:r w:rsidRPr="00313015">
              <w:t>2.2.2. Organizuotas bent viena darbuotojų motyvavimo priemonė</w:t>
            </w:r>
          </w:p>
          <w:p w:rsidR="00A50BC0" w:rsidRPr="00313015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  <w:r w:rsidRPr="00313015">
              <w:t>2.2.3</w:t>
            </w:r>
            <w:r>
              <w:t>.</w:t>
            </w:r>
            <w:r w:rsidRPr="00313015">
              <w:rPr>
                <w:szCs w:val="24"/>
                <w:lang w:eastAsia="lt-LT"/>
              </w:rPr>
              <w:t xml:space="preserve"> </w:t>
            </w:r>
            <w:r w:rsidRPr="00313015">
              <w:t xml:space="preserve">Įstaigos darbuotojų profesinių kompetencijų didinimas : </w:t>
            </w:r>
            <w:proofErr w:type="spellStart"/>
            <w:r w:rsidRPr="00313015">
              <w:t>supervizijų</w:t>
            </w:r>
            <w:proofErr w:type="spellEnd"/>
            <w:r w:rsidRPr="00313015">
              <w:t xml:space="preserve"> mokymas      </w:t>
            </w:r>
          </w:p>
        </w:tc>
      </w:tr>
      <w:tr w:rsidR="00A50BC0" w:rsidTr="006D3C50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C0" w:rsidRPr="00313015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  <w:r w:rsidRPr="00313015">
              <w:rPr>
                <w:szCs w:val="24"/>
                <w:lang w:eastAsia="lt-LT"/>
              </w:rPr>
              <w:t xml:space="preserve">Įstaigos vidaus administravimo gerinimas ir veiklos efektyvumo didinimas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0" w:rsidRPr="00313015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  <w:r w:rsidRPr="00313015">
              <w:rPr>
                <w:szCs w:val="24"/>
                <w:lang w:eastAsia="lt-LT"/>
              </w:rPr>
              <w:t xml:space="preserve">2.3. Įgytos naujos įstaigos vadovo kompetencijos ir pritaikytos įstaigos veikloje 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0" w:rsidRPr="00313015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  <w:r w:rsidRPr="00313015">
              <w:rPr>
                <w:szCs w:val="24"/>
                <w:lang w:eastAsia="lt-LT"/>
              </w:rPr>
              <w:t xml:space="preserve">2.3.1. Įgyvendinta ne mažiau kaip viena priemonė, pritaikant seminarų, konferencijų, ar vizitų </w:t>
            </w:r>
            <w:r w:rsidRPr="00313015">
              <w:rPr>
                <w:szCs w:val="24"/>
                <w:lang w:eastAsia="lt-LT"/>
              </w:rPr>
              <w:lastRenderedPageBreak/>
              <w:t xml:space="preserve">kituose įstaigose metu įgytas žinias ar patirtį. </w:t>
            </w:r>
          </w:p>
          <w:p w:rsidR="00A50BC0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  <w:r w:rsidRPr="00313015">
              <w:rPr>
                <w:szCs w:val="24"/>
                <w:lang w:eastAsia="lt-LT"/>
              </w:rPr>
              <w:t xml:space="preserve">2.3.2. Organizuoti įstaigoje praktinius </w:t>
            </w:r>
            <w:proofErr w:type="spellStart"/>
            <w:r w:rsidRPr="00313015">
              <w:rPr>
                <w:szCs w:val="24"/>
                <w:lang w:eastAsia="lt-LT"/>
              </w:rPr>
              <w:t>simuliacinius</w:t>
            </w:r>
            <w:proofErr w:type="spellEnd"/>
            <w:r w:rsidRPr="00313015">
              <w:rPr>
                <w:szCs w:val="24"/>
                <w:lang w:eastAsia="lt-LT"/>
              </w:rPr>
              <w:t xml:space="preserve"> mokymus ir planų peržiūrą dėl galimų krizinių/nepageidaujamų ir civilinės saugos atvejų valdymo įstaigoje.</w:t>
            </w:r>
          </w:p>
          <w:p w:rsidR="00A50BC0" w:rsidRPr="00313015" w:rsidRDefault="00A50BC0" w:rsidP="006D3C50">
            <w:pPr>
              <w:spacing w:line="276" w:lineRule="auto"/>
              <w:rPr>
                <w:szCs w:val="24"/>
                <w:lang w:eastAsia="lt-LT"/>
              </w:rPr>
            </w:pPr>
            <w:r w:rsidRPr="00313015">
              <w:rPr>
                <w:szCs w:val="24"/>
                <w:lang w:eastAsia="lt-LT"/>
              </w:rPr>
              <w:t xml:space="preserve">2.3.3. </w:t>
            </w:r>
            <w:r>
              <w:t xml:space="preserve">Atlikti įstaigos mikroklimato vertinimą ir numatyti priemones jo gerinimui. </w:t>
            </w:r>
          </w:p>
        </w:tc>
      </w:tr>
    </w:tbl>
    <w:p w:rsidR="00A50BC0" w:rsidRDefault="00A50BC0" w:rsidP="00A50BC0">
      <w:pPr>
        <w:spacing w:line="276" w:lineRule="auto"/>
        <w:rPr>
          <w:sz w:val="10"/>
          <w:szCs w:val="10"/>
        </w:rPr>
      </w:pPr>
    </w:p>
    <w:p w:rsidR="00A50BC0" w:rsidRDefault="00A50BC0" w:rsidP="00A50BC0">
      <w:pPr>
        <w:tabs>
          <w:tab w:val="left" w:pos="426"/>
        </w:tabs>
        <w:ind w:left="142"/>
        <w:rPr>
          <w:b/>
          <w:szCs w:val="24"/>
          <w:lang w:eastAsia="lt-LT"/>
        </w:rPr>
      </w:pPr>
      <w:r>
        <w:rPr>
          <w:rFonts w:eastAsia="Calibri"/>
          <w:b/>
          <w:szCs w:val="24"/>
          <w:lang w:eastAsia="lt-LT"/>
        </w:rPr>
        <w:t>3.</w:t>
      </w:r>
      <w:r>
        <w:rPr>
          <w:rFonts w:eastAsia="Calibri"/>
          <w:b/>
          <w:szCs w:val="24"/>
          <w:lang w:eastAsia="lt-LT"/>
        </w:rPr>
        <w:tab/>
      </w:r>
      <w:r>
        <w:rPr>
          <w:b/>
          <w:szCs w:val="24"/>
          <w:lang w:eastAsia="lt-LT"/>
        </w:rPr>
        <w:t>Rizika, kuriai esant nustatytos e</w:t>
      </w:r>
      <w:r>
        <w:rPr>
          <w:b/>
          <w:lang w:eastAsia="lt-LT"/>
        </w:rPr>
        <w:t xml:space="preserve">inamųjų metų užduotys </w:t>
      </w:r>
      <w:r>
        <w:rPr>
          <w:b/>
          <w:szCs w:val="24"/>
          <w:lang w:eastAsia="lt-LT"/>
        </w:rPr>
        <w:t>gali būti neįvykdytos (aplinkybės, kurios gali turėti neigiamą įtaką šių užduočių įvykdymui)</w:t>
      </w:r>
    </w:p>
    <w:p w:rsidR="00A50BC0" w:rsidRDefault="00A50BC0" w:rsidP="00A50BC0">
      <w:pPr>
        <w:tabs>
          <w:tab w:val="left" w:pos="426"/>
        </w:tabs>
        <w:ind w:firstLine="142"/>
        <w:rPr>
          <w:szCs w:val="24"/>
          <w:lang w:eastAsia="lt-LT"/>
        </w:rPr>
      </w:pPr>
      <w:r>
        <w:rPr>
          <w:szCs w:val="24"/>
          <w:lang w:eastAsia="lt-LT"/>
        </w:rPr>
        <w:t>(pildoma suderinus su darbuotoju / biudžetinės įstaigos vadovu)</w:t>
      </w:r>
    </w:p>
    <w:p w:rsidR="00A50BC0" w:rsidRPr="008A130E" w:rsidRDefault="00A50BC0" w:rsidP="00A50BC0">
      <w:pPr>
        <w:tabs>
          <w:tab w:val="left" w:pos="426"/>
        </w:tabs>
        <w:ind w:firstLine="142"/>
        <w:rPr>
          <w:szCs w:val="24"/>
          <w:lang w:eastAsia="lt-LT"/>
        </w:rPr>
      </w:pPr>
    </w:p>
    <w:p w:rsidR="00A50BC0" w:rsidRDefault="00A50BC0" w:rsidP="00A50BC0">
      <w:pPr>
        <w:spacing w:line="276" w:lineRule="auto"/>
        <w:rPr>
          <w:szCs w:val="24"/>
          <w:lang w:eastAsia="lt-LT"/>
        </w:rPr>
      </w:pPr>
      <w:r>
        <w:rPr>
          <w:szCs w:val="24"/>
          <w:lang w:eastAsia="lt-LT"/>
        </w:rPr>
        <w:t xml:space="preserve">3.1. Laikinas nedarbingumas </w:t>
      </w:r>
    </w:p>
    <w:p w:rsidR="00A50BC0" w:rsidRDefault="00A50BC0" w:rsidP="00A50BC0">
      <w:pPr>
        <w:spacing w:line="276" w:lineRule="auto"/>
        <w:rPr>
          <w:szCs w:val="24"/>
          <w:lang w:eastAsia="lt-LT"/>
        </w:rPr>
      </w:pPr>
      <w:r>
        <w:rPr>
          <w:szCs w:val="24"/>
          <w:lang w:eastAsia="lt-LT"/>
        </w:rPr>
        <w:t>3.2. Pasikeitę teisės aktai</w:t>
      </w:r>
    </w:p>
    <w:p w:rsidR="00A50BC0" w:rsidRDefault="00A50BC0" w:rsidP="00A50BC0">
      <w:pPr>
        <w:spacing w:line="276" w:lineRule="auto"/>
        <w:rPr>
          <w:szCs w:val="24"/>
          <w:lang w:eastAsia="lt-LT"/>
        </w:rPr>
      </w:pPr>
      <w:r>
        <w:rPr>
          <w:szCs w:val="24"/>
          <w:lang w:eastAsia="lt-LT"/>
        </w:rPr>
        <w:t>3.3. Lėšų trūkumas</w:t>
      </w:r>
    </w:p>
    <w:p w:rsidR="00A50BC0" w:rsidRDefault="00A50BC0" w:rsidP="00A50BC0">
      <w:pPr>
        <w:spacing w:line="276" w:lineRule="auto"/>
      </w:pPr>
      <w:r>
        <w:rPr>
          <w:szCs w:val="24"/>
          <w:lang w:eastAsia="lt-LT"/>
        </w:rPr>
        <w:t xml:space="preserve">3.4 </w:t>
      </w:r>
      <w:r>
        <w:t>Ekstremali situacija dėl COVID-19 ligos (</w:t>
      </w:r>
      <w:proofErr w:type="spellStart"/>
      <w:r>
        <w:t>koronaviruso</w:t>
      </w:r>
      <w:proofErr w:type="spellEnd"/>
      <w:r>
        <w:t xml:space="preserve"> infekcijos).</w:t>
      </w:r>
    </w:p>
    <w:p w:rsidR="00A50BC0" w:rsidRDefault="00A50BC0" w:rsidP="00A50BC0">
      <w:pPr>
        <w:spacing w:line="276" w:lineRule="auto"/>
        <w:rPr>
          <w:szCs w:val="24"/>
          <w:lang w:eastAsia="lt-LT"/>
        </w:rPr>
      </w:pPr>
      <w:r>
        <w:t xml:space="preserve">3.5. Ekonominė   situacija šalyje ryšium su karu Ukrainoje </w:t>
      </w:r>
    </w:p>
    <w:p w:rsidR="00A50BC0" w:rsidRDefault="00A50BC0" w:rsidP="00A50BC0">
      <w:pPr>
        <w:spacing w:line="276" w:lineRule="auto"/>
        <w:rPr>
          <w:sz w:val="10"/>
          <w:szCs w:val="10"/>
          <w:lang w:eastAsia="lt-LT"/>
        </w:rPr>
      </w:pPr>
    </w:p>
    <w:p w:rsidR="00A50BC0" w:rsidRDefault="00A50BC0" w:rsidP="00A50BC0">
      <w:pPr>
        <w:spacing w:line="276" w:lineRule="auto"/>
        <w:rPr>
          <w:szCs w:val="24"/>
          <w:lang w:eastAsia="lt-LT"/>
        </w:rPr>
      </w:pPr>
    </w:p>
    <w:p w:rsidR="00A50BC0" w:rsidRDefault="00A50BC0" w:rsidP="00A50BC0">
      <w:pPr>
        <w:spacing w:line="276" w:lineRule="auto"/>
        <w:jc w:val="center"/>
        <w:rPr>
          <w:b/>
          <w:szCs w:val="24"/>
          <w:lang w:eastAsia="lt-LT"/>
        </w:rPr>
      </w:pPr>
    </w:p>
    <w:p w:rsidR="00A50BC0" w:rsidRDefault="00A50BC0" w:rsidP="00A50BC0">
      <w:pPr>
        <w:ind w:firstLine="142"/>
        <w:rPr>
          <w:szCs w:val="24"/>
          <w:lang w:eastAsia="lt-LT"/>
        </w:rPr>
      </w:pPr>
    </w:p>
    <w:p w:rsidR="00A50BC0" w:rsidRDefault="00A50BC0" w:rsidP="00A50BC0">
      <w:pPr>
        <w:rPr>
          <w:sz w:val="10"/>
          <w:szCs w:val="10"/>
          <w:lang w:eastAsia="lt-LT"/>
        </w:rPr>
      </w:pPr>
    </w:p>
    <w:p w:rsidR="00A50BC0" w:rsidRDefault="00A50BC0" w:rsidP="00A50BC0">
      <w:pPr>
        <w:jc w:val="center"/>
        <w:rPr>
          <w:szCs w:val="24"/>
          <w:lang w:eastAsia="lt-LT"/>
        </w:rPr>
      </w:pPr>
    </w:p>
    <w:p w:rsidR="00A50BC0" w:rsidRDefault="00A50BC0" w:rsidP="00A50BC0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 SKYRIUS</w:t>
      </w:r>
    </w:p>
    <w:p w:rsidR="00A50BC0" w:rsidRDefault="00A50BC0" w:rsidP="00A50BC0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PASIEKTŲ REZULTATŲ, GEBĖJIMŲ VYKDYTI FUNKCIJAS VERTINIMAS IR KVALIFIKACIJOS TOBULINIMAS</w:t>
      </w:r>
    </w:p>
    <w:p w:rsidR="00A50BC0" w:rsidRDefault="00A50BC0" w:rsidP="00A50BC0">
      <w:pPr>
        <w:jc w:val="center"/>
        <w:rPr>
          <w:b/>
          <w:szCs w:val="24"/>
          <w:lang w:eastAsia="lt-LT"/>
        </w:rPr>
      </w:pPr>
    </w:p>
    <w:p w:rsidR="00A50BC0" w:rsidRDefault="00A50BC0" w:rsidP="00A50BC0">
      <w:pPr>
        <w:tabs>
          <w:tab w:val="left" w:pos="284"/>
        </w:tabs>
        <w:ind w:left="426" w:hanging="360"/>
        <w:rPr>
          <w:b/>
          <w:strike/>
          <w:szCs w:val="24"/>
          <w:lang w:eastAsia="lt-LT"/>
        </w:rPr>
      </w:pPr>
      <w:r>
        <w:rPr>
          <w:rFonts w:eastAsia="Calibri"/>
          <w:b/>
          <w:szCs w:val="24"/>
          <w:lang w:eastAsia="lt-LT"/>
        </w:rPr>
        <w:t>4.</w:t>
      </w:r>
      <w:r>
        <w:rPr>
          <w:rFonts w:eastAsia="Calibri"/>
          <w:b/>
          <w:szCs w:val="24"/>
          <w:lang w:eastAsia="lt-LT"/>
        </w:rPr>
        <w:tab/>
      </w:r>
      <w:r>
        <w:rPr>
          <w:b/>
          <w:szCs w:val="24"/>
          <w:lang w:eastAsia="lt-LT"/>
        </w:rPr>
        <w:t>Pasiektų rezultatų vykdant metines užduotis vertinimas</w:t>
      </w:r>
    </w:p>
    <w:p w:rsidR="00A50BC0" w:rsidRDefault="00A50BC0" w:rsidP="00A50BC0">
      <w:pPr>
        <w:rPr>
          <w:b/>
          <w:strike/>
          <w:sz w:val="10"/>
          <w:szCs w:val="10"/>
          <w:lang w:eastAsia="lt-LT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0"/>
        <w:gridCol w:w="2664"/>
      </w:tblGrid>
      <w:tr w:rsidR="00A50BC0" w:rsidTr="006D3C50">
        <w:trPr>
          <w:trHeight w:val="23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C0" w:rsidRDefault="00A50BC0" w:rsidP="006D3C50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 xml:space="preserve">Metinių užduočių </w:t>
            </w:r>
          </w:p>
          <w:p w:rsidR="00A50BC0" w:rsidRDefault="00A50BC0" w:rsidP="006D3C50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įvykdymo aprašymas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C0" w:rsidRDefault="00A50BC0" w:rsidP="006D3C50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Pažymimas atitinkamas langelis</w:t>
            </w:r>
          </w:p>
        </w:tc>
      </w:tr>
      <w:tr w:rsidR="00A50BC0" w:rsidTr="006D3C50">
        <w:trPr>
          <w:trHeight w:val="23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C0" w:rsidRDefault="00A50BC0" w:rsidP="006D3C50">
            <w:pPr>
              <w:ind w:right="-108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4.1. Darbuotojas / biudžetinės įstaigos vadovas įvykdė metines užduotis ir viršijo kai kuriuos sutartus vertinimo rodiklius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C0" w:rsidRDefault="00A50BC0" w:rsidP="006D3C50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Labai gerai – 4 </w:t>
            </w:r>
            <w:r w:rsidRPr="008A130E">
              <w:rPr>
                <w:rFonts w:ascii="MS Gothic" w:eastAsia="MS Gothic" w:hAnsi="MS Gothic"/>
                <w:b/>
                <w:sz w:val="22"/>
                <w:szCs w:val="22"/>
                <w:lang w:eastAsia="lt-LT"/>
              </w:rPr>
              <w:t>x</w:t>
            </w:r>
          </w:p>
        </w:tc>
      </w:tr>
      <w:tr w:rsidR="00A50BC0" w:rsidTr="006D3C50">
        <w:trPr>
          <w:trHeight w:val="23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C0" w:rsidRDefault="00A50BC0" w:rsidP="006D3C50">
            <w:pPr>
              <w:ind w:right="-108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4.2. Darbuotojas / biudžetinės įstaigos vadovas iš esmės įvykdė metines užduotis pagal sutartus vertinimo rodiklius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C0" w:rsidRDefault="00A50BC0" w:rsidP="006D3C50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Gerai – 3 </w:t>
            </w:r>
            <w:r>
              <w:rPr>
                <w:rFonts w:ascii="MS Gothic" w:eastAsia="MS Gothic" w:hAnsi="MS Gothic"/>
                <w:sz w:val="22"/>
                <w:szCs w:val="22"/>
                <w:lang w:eastAsia="lt-LT"/>
              </w:rPr>
              <w:t>☐</w:t>
            </w:r>
          </w:p>
        </w:tc>
      </w:tr>
      <w:tr w:rsidR="00A50BC0" w:rsidTr="006D3C50">
        <w:trPr>
          <w:trHeight w:val="23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C0" w:rsidRDefault="00A50BC0" w:rsidP="006D3C50">
            <w:pPr>
              <w:ind w:right="-108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4.3. Darbuotojas / biudžetinės įstaigos vadovas įvykdė tik kai kurias metines užduotis pagal sutartus vertinimo rodiklius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C0" w:rsidRDefault="00A50BC0" w:rsidP="006D3C50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Patenkinamai – 2 </w:t>
            </w:r>
            <w:r>
              <w:rPr>
                <w:rFonts w:ascii="MS Gothic" w:eastAsia="MS Gothic" w:hAnsi="MS Gothic"/>
                <w:sz w:val="22"/>
                <w:szCs w:val="22"/>
                <w:lang w:eastAsia="lt-LT"/>
              </w:rPr>
              <w:t>☐</w:t>
            </w:r>
          </w:p>
        </w:tc>
      </w:tr>
      <w:tr w:rsidR="00A50BC0" w:rsidTr="006D3C50">
        <w:trPr>
          <w:trHeight w:val="23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C0" w:rsidRDefault="00A50BC0" w:rsidP="006D3C50">
            <w:pPr>
              <w:ind w:right="-108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4.4. Darbuotojas / biudžetinės įstaigos vadovas neįvykdė metinių užduočių pagal sutartus vertinimo rodiklius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C0" w:rsidRDefault="00A50BC0" w:rsidP="006D3C50">
            <w:pPr>
              <w:ind w:right="340"/>
              <w:jc w:val="right"/>
              <w:rPr>
                <w:rFonts w:ascii="MS Gothic" w:eastAsia="MS Gothic" w:hAnsi="MS Gothic"/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Nepatenkinamai – 1 </w:t>
            </w:r>
            <w:r>
              <w:rPr>
                <w:rFonts w:ascii="MS Gothic" w:eastAsia="MS Gothic" w:hAnsi="MS Gothic"/>
                <w:sz w:val="22"/>
                <w:szCs w:val="22"/>
                <w:lang w:eastAsia="lt-LT"/>
              </w:rPr>
              <w:t>☐</w:t>
            </w:r>
          </w:p>
        </w:tc>
      </w:tr>
    </w:tbl>
    <w:p w:rsidR="00A50BC0" w:rsidRDefault="00A50BC0" w:rsidP="00A50BC0">
      <w:pPr>
        <w:jc w:val="center"/>
        <w:rPr>
          <w:szCs w:val="24"/>
          <w:lang w:eastAsia="lt-LT"/>
        </w:rPr>
      </w:pPr>
    </w:p>
    <w:p w:rsidR="00A50BC0" w:rsidRDefault="00A50BC0" w:rsidP="00A50BC0">
      <w:pPr>
        <w:tabs>
          <w:tab w:val="left" w:pos="284"/>
        </w:tabs>
        <w:ind w:left="142"/>
        <w:rPr>
          <w:rFonts w:eastAsia="Calibri"/>
          <w:b/>
          <w:szCs w:val="24"/>
          <w:lang w:eastAsia="lt-LT"/>
        </w:rPr>
      </w:pPr>
      <w:r>
        <w:rPr>
          <w:rFonts w:eastAsia="Calibri"/>
          <w:b/>
          <w:szCs w:val="24"/>
          <w:lang w:eastAsia="lt-LT"/>
        </w:rPr>
        <w:t>5. Gebėjimų atlikti pareigybės aprašyme nustatytas funkcijas vertinimas</w:t>
      </w:r>
    </w:p>
    <w:tbl>
      <w:tblPr>
        <w:tblW w:w="91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  <w:gridCol w:w="3090"/>
      </w:tblGrid>
      <w:tr w:rsidR="00A50BC0" w:rsidTr="006D3C50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C0" w:rsidRDefault="00A50BC0" w:rsidP="006D3C50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 w:val="22"/>
                <w:szCs w:val="24"/>
                <w:lang w:eastAsia="lt-LT"/>
              </w:rPr>
              <w:t>Gebėjimų atlikti pareigybės aprašyme nustatytas funkcijas vertinimo kriterijai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C0" w:rsidRDefault="00A50BC0" w:rsidP="006D3C50">
            <w:pPr>
              <w:rPr>
                <w:b/>
                <w:sz w:val="22"/>
                <w:szCs w:val="24"/>
                <w:lang w:eastAsia="lt-LT"/>
              </w:rPr>
            </w:pPr>
            <w:r>
              <w:rPr>
                <w:b/>
                <w:sz w:val="22"/>
                <w:szCs w:val="24"/>
                <w:lang w:eastAsia="lt-LT"/>
              </w:rPr>
              <w:t xml:space="preserve">Pažymimas atitinkamas langelis: </w:t>
            </w:r>
          </w:p>
          <w:p w:rsidR="00A50BC0" w:rsidRDefault="00A50BC0" w:rsidP="006D3C50">
            <w:pPr>
              <w:rPr>
                <w:b/>
                <w:sz w:val="22"/>
                <w:szCs w:val="24"/>
                <w:lang w:eastAsia="lt-LT"/>
              </w:rPr>
            </w:pPr>
            <w:r>
              <w:rPr>
                <w:b/>
                <w:sz w:val="22"/>
                <w:szCs w:val="24"/>
                <w:lang w:eastAsia="lt-LT"/>
              </w:rPr>
              <w:t>4 – labai gerai</w:t>
            </w:r>
          </w:p>
          <w:p w:rsidR="00A50BC0" w:rsidRDefault="00A50BC0" w:rsidP="006D3C50">
            <w:pPr>
              <w:rPr>
                <w:b/>
                <w:sz w:val="22"/>
                <w:szCs w:val="24"/>
                <w:lang w:eastAsia="lt-LT"/>
              </w:rPr>
            </w:pPr>
            <w:r>
              <w:rPr>
                <w:b/>
                <w:sz w:val="22"/>
                <w:szCs w:val="24"/>
                <w:lang w:eastAsia="lt-LT"/>
              </w:rPr>
              <w:t>3 – gerai</w:t>
            </w:r>
          </w:p>
          <w:p w:rsidR="00A50BC0" w:rsidRDefault="00A50BC0" w:rsidP="006D3C50">
            <w:pPr>
              <w:rPr>
                <w:b/>
                <w:sz w:val="22"/>
                <w:szCs w:val="24"/>
                <w:lang w:eastAsia="lt-LT"/>
              </w:rPr>
            </w:pPr>
            <w:r>
              <w:rPr>
                <w:b/>
                <w:sz w:val="22"/>
                <w:szCs w:val="24"/>
                <w:lang w:eastAsia="lt-LT"/>
              </w:rPr>
              <w:t>2 – patenkinamai</w:t>
            </w:r>
          </w:p>
          <w:p w:rsidR="00A50BC0" w:rsidRDefault="00A50BC0" w:rsidP="006D3C50">
            <w:pPr>
              <w:rPr>
                <w:b/>
                <w:szCs w:val="24"/>
                <w:lang w:eastAsia="lt-LT"/>
              </w:rPr>
            </w:pPr>
            <w:r>
              <w:rPr>
                <w:b/>
                <w:sz w:val="22"/>
                <w:szCs w:val="24"/>
                <w:lang w:eastAsia="lt-LT"/>
              </w:rPr>
              <w:t>1 – nepatenkinamai</w:t>
            </w:r>
          </w:p>
        </w:tc>
      </w:tr>
      <w:tr w:rsidR="00A50BC0" w:rsidTr="006D3C50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C0" w:rsidRDefault="00A50BC0" w:rsidP="006D3C50">
            <w:pPr>
              <w:rPr>
                <w:sz w:val="22"/>
                <w:szCs w:val="24"/>
                <w:lang w:eastAsia="lt-LT"/>
              </w:rPr>
            </w:pPr>
            <w:r>
              <w:rPr>
                <w:sz w:val="22"/>
                <w:szCs w:val="24"/>
                <w:lang w:eastAsia="lt-LT"/>
              </w:rPr>
              <w:lastRenderedPageBreak/>
              <w:t>Pareigybės aprašyme nustatytų funkcijų vykdymas, laikantis nustatytos tvarkos, tinkamu būdu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C0" w:rsidRDefault="00A50BC0" w:rsidP="006D3C50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>
              <w:rPr>
                <w:rFonts w:ascii="MS Gothic" w:eastAsia="MS Gothic" w:hAnsi="MS Gothic"/>
                <w:sz w:val="22"/>
                <w:szCs w:val="22"/>
                <w:lang w:eastAsia="lt-LT"/>
              </w:rPr>
              <w:t>☐</w:t>
            </w:r>
            <w:r>
              <w:rPr>
                <w:szCs w:val="24"/>
                <w:lang w:eastAsia="lt-LT"/>
              </w:rPr>
              <w:t xml:space="preserve">    2</w:t>
            </w:r>
            <w:r>
              <w:rPr>
                <w:rFonts w:ascii="MS Gothic" w:eastAsia="MS Gothic" w:hAnsi="MS Gothic"/>
                <w:sz w:val="22"/>
                <w:szCs w:val="22"/>
                <w:lang w:eastAsia="lt-LT"/>
              </w:rPr>
              <w:t>☐</w:t>
            </w:r>
            <w:r>
              <w:rPr>
                <w:szCs w:val="24"/>
                <w:lang w:eastAsia="lt-LT"/>
              </w:rPr>
              <w:t xml:space="preserve">    3</w:t>
            </w:r>
            <w:r>
              <w:rPr>
                <w:rFonts w:ascii="MS Gothic" w:eastAsia="MS Gothic" w:hAnsi="MS Gothic"/>
                <w:sz w:val="22"/>
                <w:szCs w:val="22"/>
                <w:lang w:eastAsia="lt-LT"/>
              </w:rPr>
              <w:t xml:space="preserve">☐   </w:t>
            </w:r>
            <w:r>
              <w:rPr>
                <w:szCs w:val="24"/>
                <w:lang w:eastAsia="lt-LT"/>
              </w:rPr>
              <w:t>4</w:t>
            </w:r>
            <w:r w:rsidRPr="008A130E">
              <w:rPr>
                <w:rFonts w:ascii="MS Gothic" w:eastAsia="MS Gothic" w:hAnsi="MS Gothic"/>
                <w:b/>
                <w:sz w:val="22"/>
                <w:szCs w:val="22"/>
                <w:lang w:eastAsia="lt-LT"/>
              </w:rPr>
              <w:t>x</w:t>
            </w:r>
            <w:r>
              <w:rPr>
                <w:szCs w:val="24"/>
                <w:lang w:eastAsia="lt-LT"/>
              </w:rPr>
              <w:t xml:space="preserve"> </w:t>
            </w:r>
          </w:p>
        </w:tc>
      </w:tr>
      <w:tr w:rsidR="00A50BC0" w:rsidTr="006D3C50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C0" w:rsidRDefault="00A50BC0" w:rsidP="006D3C50">
            <w:pPr>
              <w:rPr>
                <w:sz w:val="22"/>
                <w:szCs w:val="24"/>
                <w:lang w:eastAsia="lt-LT"/>
              </w:rPr>
            </w:pPr>
            <w:r>
              <w:rPr>
                <w:sz w:val="22"/>
                <w:szCs w:val="24"/>
                <w:lang w:eastAsia="lt-LT"/>
              </w:rPr>
              <w:t>Pareigybės aprašyme nustatytų funkcijų vykdymas, atsižvelgiant į strateginius įstaigos tikslus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C0" w:rsidRDefault="00A50BC0" w:rsidP="006D3C50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>
              <w:rPr>
                <w:rFonts w:ascii="MS Gothic" w:eastAsia="MS Gothic" w:hAnsi="MS Gothic"/>
                <w:sz w:val="22"/>
                <w:szCs w:val="22"/>
                <w:lang w:eastAsia="lt-LT"/>
              </w:rPr>
              <w:t>☐</w:t>
            </w:r>
            <w:r>
              <w:rPr>
                <w:szCs w:val="24"/>
                <w:lang w:eastAsia="lt-LT"/>
              </w:rPr>
              <w:t xml:space="preserve">    2</w:t>
            </w:r>
            <w:r>
              <w:rPr>
                <w:rFonts w:ascii="MS Gothic" w:eastAsia="MS Gothic" w:hAnsi="MS Gothic"/>
                <w:sz w:val="22"/>
                <w:szCs w:val="22"/>
                <w:lang w:eastAsia="lt-LT"/>
              </w:rPr>
              <w:t>☐</w:t>
            </w:r>
            <w:r>
              <w:rPr>
                <w:szCs w:val="24"/>
                <w:lang w:eastAsia="lt-LT"/>
              </w:rPr>
              <w:t xml:space="preserve">    3</w:t>
            </w:r>
            <w:r>
              <w:rPr>
                <w:rFonts w:ascii="MS Gothic" w:eastAsia="MS Gothic" w:hAnsi="MS Gothic"/>
                <w:sz w:val="22"/>
                <w:szCs w:val="22"/>
                <w:lang w:eastAsia="lt-LT"/>
              </w:rPr>
              <w:t xml:space="preserve">☐   </w:t>
            </w:r>
            <w:r>
              <w:rPr>
                <w:szCs w:val="24"/>
                <w:lang w:eastAsia="lt-LT"/>
              </w:rPr>
              <w:t>4</w:t>
            </w:r>
            <w:r>
              <w:rPr>
                <w:rFonts w:ascii="MS Gothic" w:eastAsia="MS Gothic" w:hAnsi="MS Gothic"/>
                <w:b/>
                <w:sz w:val="22"/>
                <w:szCs w:val="22"/>
                <w:lang w:eastAsia="lt-LT"/>
              </w:rPr>
              <w:t>x</w:t>
            </w:r>
          </w:p>
        </w:tc>
      </w:tr>
      <w:tr w:rsidR="00A50BC0" w:rsidTr="006D3C50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C0" w:rsidRDefault="00A50BC0" w:rsidP="006D3C50">
            <w:pPr>
              <w:rPr>
                <w:sz w:val="22"/>
                <w:szCs w:val="24"/>
                <w:lang w:eastAsia="lt-LT"/>
              </w:rPr>
            </w:pPr>
            <w:r>
              <w:rPr>
                <w:sz w:val="22"/>
                <w:szCs w:val="24"/>
                <w:lang w:eastAsia="lt-LT"/>
              </w:rPr>
              <w:t>Tinkamas turimų žinių, gebėjimų ir įgūdžių panaudojimas, atliekant funkcijas ir siekiant rezultatų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C0" w:rsidRDefault="00A50BC0" w:rsidP="006D3C50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>
              <w:rPr>
                <w:rFonts w:ascii="MS Gothic" w:eastAsia="MS Gothic" w:hAnsi="MS Gothic"/>
                <w:sz w:val="22"/>
                <w:szCs w:val="22"/>
                <w:lang w:eastAsia="lt-LT"/>
              </w:rPr>
              <w:t>☐</w:t>
            </w:r>
            <w:r>
              <w:rPr>
                <w:szCs w:val="24"/>
                <w:lang w:eastAsia="lt-LT"/>
              </w:rPr>
              <w:t xml:space="preserve">    2</w:t>
            </w:r>
            <w:r>
              <w:rPr>
                <w:rFonts w:ascii="MS Gothic" w:eastAsia="MS Gothic" w:hAnsi="MS Gothic"/>
                <w:sz w:val="22"/>
                <w:szCs w:val="22"/>
                <w:lang w:eastAsia="lt-LT"/>
              </w:rPr>
              <w:t>☐</w:t>
            </w:r>
            <w:r>
              <w:rPr>
                <w:szCs w:val="24"/>
                <w:lang w:eastAsia="lt-LT"/>
              </w:rPr>
              <w:t xml:space="preserve">    3</w:t>
            </w:r>
            <w:r>
              <w:rPr>
                <w:rFonts w:ascii="MS Gothic" w:eastAsia="MS Gothic" w:hAnsi="MS Gothic"/>
                <w:sz w:val="22"/>
                <w:szCs w:val="22"/>
                <w:lang w:eastAsia="lt-LT"/>
              </w:rPr>
              <w:t xml:space="preserve">☐   </w:t>
            </w:r>
            <w:r>
              <w:rPr>
                <w:szCs w:val="24"/>
                <w:lang w:eastAsia="lt-LT"/>
              </w:rPr>
              <w:t>4</w:t>
            </w:r>
            <w:r>
              <w:rPr>
                <w:rFonts w:ascii="MS Gothic" w:eastAsia="MS Gothic" w:hAnsi="MS Gothic"/>
                <w:b/>
                <w:sz w:val="22"/>
                <w:szCs w:val="22"/>
                <w:lang w:eastAsia="lt-LT"/>
              </w:rPr>
              <w:t>x</w:t>
            </w:r>
          </w:p>
        </w:tc>
      </w:tr>
      <w:tr w:rsidR="00A50BC0" w:rsidTr="006D3C50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C0" w:rsidRDefault="00A50BC0" w:rsidP="006D3C50">
            <w:pPr>
              <w:rPr>
                <w:sz w:val="22"/>
                <w:szCs w:val="24"/>
                <w:lang w:eastAsia="lt-LT"/>
              </w:rPr>
            </w:pPr>
            <w:r>
              <w:rPr>
                <w:sz w:val="22"/>
                <w:szCs w:val="24"/>
                <w:lang w:eastAsia="lt-LT"/>
              </w:rPr>
              <w:t>PAŽYMIMAS LANGELIS, ATITINKANTIS GEBĖJIMŲ ATLIKTI PAREIGYBĖS APRAŠYME NUSTATYTAS FUNKCIJAS VERTINIMŲ VIDURKĮ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0" w:rsidRDefault="00A50BC0" w:rsidP="006D3C50">
            <w:pPr>
              <w:jc w:val="center"/>
              <w:rPr>
                <w:szCs w:val="24"/>
                <w:lang w:eastAsia="lt-LT"/>
              </w:rPr>
            </w:pPr>
          </w:p>
          <w:p w:rsidR="00A50BC0" w:rsidRDefault="00A50BC0" w:rsidP="006D3C50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>
              <w:rPr>
                <w:rFonts w:ascii="MS Gothic" w:eastAsia="MS Gothic" w:hAnsi="MS Gothic"/>
                <w:sz w:val="22"/>
                <w:szCs w:val="22"/>
                <w:lang w:eastAsia="lt-LT"/>
              </w:rPr>
              <w:t>☐</w:t>
            </w:r>
            <w:r>
              <w:rPr>
                <w:szCs w:val="24"/>
                <w:lang w:eastAsia="lt-LT"/>
              </w:rPr>
              <w:t xml:space="preserve">    2</w:t>
            </w:r>
            <w:r>
              <w:rPr>
                <w:rFonts w:ascii="MS Gothic" w:eastAsia="MS Gothic" w:hAnsi="MS Gothic"/>
                <w:sz w:val="22"/>
                <w:szCs w:val="22"/>
                <w:lang w:eastAsia="lt-LT"/>
              </w:rPr>
              <w:t>☐</w:t>
            </w:r>
            <w:r>
              <w:rPr>
                <w:szCs w:val="24"/>
                <w:lang w:eastAsia="lt-LT"/>
              </w:rPr>
              <w:t xml:space="preserve">    3</w:t>
            </w:r>
            <w:r>
              <w:rPr>
                <w:rFonts w:ascii="MS Gothic" w:eastAsia="MS Gothic" w:hAnsi="MS Gothic"/>
                <w:sz w:val="22"/>
                <w:szCs w:val="22"/>
                <w:lang w:eastAsia="lt-LT"/>
              </w:rPr>
              <w:t xml:space="preserve">☐   </w:t>
            </w:r>
            <w:r w:rsidRPr="008A130E">
              <w:rPr>
                <w:szCs w:val="24"/>
                <w:lang w:eastAsia="lt-LT"/>
              </w:rPr>
              <w:t>4</w:t>
            </w:r>
            <w:r w:rsidRPr="008A130E">
              <w:rPr>
                <w:rFonts w:ascii="MS Gothic" w:eastAsia="MS Gothic" w:hAnsi="MS Gothic"/>
                <w:b/>
                <w:sz w:val="22"/>
                <w:szCs w:val="22"/>
                <w:lang w:eastAsia="lt-LT"/>
              </w:rPr>
              <w:t>x</w:t>
            </w:r>
          </w:p>
        </w:tc>
      </w:tr>
    </w:tbl>
    <w:p w:rsidR="00A50BC0" w:rsidRDefault="00A50BC0" w:rsidP="00A50BC0">
      <w:pPr>
        <w:rPr>
          <w:b/>
          <w:szCs w:val="24"/>
          <w:lang w:eastAsia="lt-LT"/>
        </w:rPr>
      </w:pPr>
    </w:p>
    <w:p w:rsidR="00A50BC0" w:rsidRDefault="00A50BC0" w:rsidP="00A50BC0">
      <w:pPr>
        <w:rPr>
          <w:b/>
          <w:szCs w:val="24"/>
          <w:lang w:eastAsia="lt-LT"/>
        </w:rPr>
      </w:pPr>
    </w:p>
    <w:p w:rsidR="00A50BC0" w:rsidRDefault="00A50BC0" w:rsidP="00A50BC0">
      <w:pPr>
        <w:rPr>
          <w:b/>
          <w:szCs w:val="24"/>
          <w:lang w:eastAsia="lt-LT"/>
        </w:rPr>
      </w:pPr>
    </w:p>
    <w:p w:rsidR="00A50BC0" w:rsidRDefault="00A50BC0" w:rsidP="00A50BC0">
      <w:pPr>
        <w:tabs>
          <w:tab w:val="left" w:pos="426"/>
        </w:tabs>
        <w:ind w:firstLine="142"/>
        <w:jc w:val="both"/>
        <w:rPr>
          <w:szCs w:val="24"/>
          <w:lang w:eastAsia="lt-LT"/>
        </w:rPr>
      </w:pPr>
      <w:r>
        <w:rPr>
          <w:rFonts w:eastAsia="Calibri"/>
          <w:b/>
          <w:szCs w:val="24"/>
          <w:lang w:eastAsia="lt-LT"/>
        </w:rPr>
        <w:t>6.</w:t>
      </w:r>
      <w:r>
        <w:rPr>
          <w:rFonts w:eastAsia="Calibri"/>
          <w:b/>
          <w:szCs w:val="24"/>
          <w:lang w:eastAsia="lt-LT"/>
        </w:rPr>
        <w:tab/>
      </w:r>
      <w:r>
        <w:rPr>
          <w:b/>
          <w:szCs w:val="24"/>
          <w:lang w:eastAsia="lt-LT"/>
        </w:rPr>
        <w:t>Pasiūlymai, kaip darbuotojui / biudžetinės įstaigos vadovui tobulinti kvalifikaciją </w:t>
      </w:r>
    </w:p>
    <w:p w:rsidR="00A50BC0" w:rsidRDefault="00A50BC0" w:rsidP="00A50BC0">
      <w:pPr>
        <w:tabs>
          <w:tab w:val="left" w:pos="426"/>
        </w:tabs>
        <w:ind w:firstLine="62"/>
        <w:jc w:val="both"/>
        <w:rPr>
          <w:szCs w:val="24"/>
          <w:lang w:eastAsia="lt-LT"/>
        </w:rPr>
      </w:pPr>
      <w:r>
        <w:rPr>
          <w:szCs w:val="24"/>
          <w:lang w:eastAsia="lt-LT"/>
        </w:rPr>
        <w:t>(esant poreikiui nurodoma, kokie mokymai siūlomi) </w:t>
      </w:r>
    </w:p>
    <w:p w:rsidR="00A50BC0" w:rsidRDefault="00A50BC0" w:rsidP="00A50BC0">
      <w:pPr>
        <w:rPr>
          <w:sz w:val="10"/>
          <w:szCs w:val="10"/>
          <w:lang w:eastAsia="lt-LT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A50BC0" w:rsidTr="006D3C50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C0" w:rsidRDefault="00A50BC0" w:rsidP="006D3C50">
            <w:pPr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6.1. Socialinių įstaigų vadovų </w:t>
            </w:r>
            <w:proofErr w:type="spellStart"/>
            <w:r>
              <w:rPr>
                <w:sz w:val="22"/>
                <w:szCs w:val="22"/>
                <w:lang w:eastAsia="lt-LT"/>
              </w:rPr>
              <w:t>supervizija</w:t>
            </w:r>
            <w:proofErr w:type="spellEnd"/>
          </w:p>
        </w:tc>
      </w:tr>
      <w:tr w:rsidR="00A50BC0" w:rsidTr="006D3C50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C0" w:rsidRDefault="00A50BC0" w:rsidP="006D3C50">
            <w:pPr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6.2. Darbuotojų metinis veiklos vertinimas </w:t>
            </w:r>
          </w:p>
        </w:tc>
      </w:tr>
    </w:tbl>
    <w:p w:rsidR="00A50BC0" w:rsidRDefault="00A50BC0" w:rsidP="00A50BC0">
      <w:pPr>
        <w:rPr>
          <w:b/>
          <w:szCs w:val="24"/>
          <w:lang w:eastAsia="lt-LT"/>
        </w:rPr>
      </w:pPr>
    </w:p>
    <w:p w:rsidR="00A50BC0" w:rsidRDefault="00A50BC0" w:rsidP="00A50BC0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III SKYRIUS</w:t>
      </w:r>
    </w:p>
    <w:p w:rsidR="00A50BC0" w:rsidRDefault="00A50BC0" w:rsidP="00A50BC0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BENDRAS VEIKLOS VERTINIMAS, VERTINIMO PAGRINDIMAS IR SIŪLYMAI</w:t>
      </w:r>
    </w:p>
    <w:p w:rsidR="00A50BC0" w:rsidRDefault="00A50BC0" w:rsidP="00A50BC0">
      <w:pPr>
        <w:jc w:val="center"/>
        <w:rPr>
          <w:b/>
          <w:szCs w:val="24"/>
          <w:lang w:eastAsia="lt-LT"/>
        </w:rPr>
      </w:pPr>
    </w:p>
    <w:p w:rsidR="00A50BC0" w:rsidRDefault="00A50BC0" w:rsidP="00A50BC0">
      <w:pPr>
        <w:ind w:left="284" w:hanging="284"/>
        <w:rPr>
          <w:b/>
          <w:szCs w:val="24"/>
          <w:lang w:eastAsia="lt-LT"/>
        </w:rPr>
      </w:pPr>
      <w:r>
        <w:rPr>
          <w:rFonts w:eastAsia="Calibri"/>
          <w:b/>
          <w:szCs w:val="24"/>
          <w:lang w:eastAsia="lt-LT"/>
        </w:rPr>
        <w:t>7.</w:t>
      </w:r>
      <w:r>
        <w:rPr>
          <w:rFonts w:eastAsia="Calibri"/>
          <w:b/>
          <w:szCs w:val="24"/>
          <w:lang w:eastAsia="lt-LT"/>
        </w:rPr>
        <w:tab/>
      </w:r>
      <w:r>
        <w:rPr>
          <w:b/>
          <w:szCs w:val="24"/>
          <w:lang w:eastAsia="lt-LT"/>
        </w:rPr>
        <w:t>Bendras veiklos vertinimas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239"/>
        <w:gridCol w:w="1871"/>
        <w:gridCol w:w="1583"/>
        <w:gridCol w:w="2074"/>
      </w:tblGrid>
      <w:tr w:rsidR="00A50BC0" w:rsidTr="006D3C5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0" w:rsidRDefault="00A50BC0" w:rsidP="006D3C50">
            <w:pPr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7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0" w:rsidRDefault="00A50BC0" w:rsidP="006D3C50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 w:val="20"/>
                <w:szCs w:val="24"/>
                <w:lang w:eastAsia="lt-LT"/>
              </w:rPr>
              <w:t>Pažymimas langelis, atitinkantis bendrą pasiektų rezultatų, vykdant užduotis, ir gebėjimų atlikti pareigybės aprašyme nustatytas funkcijas vertinimų vidurkį</w:t>
            </w:r>
          </w:p>
          <w:p w:rsidR="00A50BC0" w:rsidRDefault="00A50BC0" w:rsidP="006D3C50">
            <w:pPr>
              <w:jc w:val="center"/>
              <w:rPr>
                <w:b/>
                <w:szCs w:val="24"/>
                <w:lang w:eastAsia="lt-LT"/>
              </w:rPr>
            </w:pPr>
          </w:p>
        </w:tc>
      </w:tr>
      <w:tr w:rsidR="00A50BC0" w:rsidTr="006D3C5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C0" w:rsidRDefault="00A50BC0" w:rsidP="006D3C50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 w:val="20"/>
                <w:szCs w:val="24"/>
                <w:lang w:eastAsia="lt-LT"/>
              </w:rPr>
              <w:t>Vertinimas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C0" w:rsidRDefault="00A50BC0" w:rsidP="006D3C50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Nepatenkinamai – </w:t>
            </w:r>
            <w:r>
              <w:rPr>
                <w:rFonts w:ascii="MS Gothic" w:eastAsia="MS Gothic" w:hAnsi="MS Gothic"/>
                <w:sz w:val="22"/>
                <w:szCs w:val="22"/>
                <w:lang w:eastAsia="lt-LT"/>
              </w:rPr>
              <w:t>☐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C0" w:rsidRDefault="00A50BC0" w:rsidP="006D3C50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Patenkinamai – </w:t>
            </w:r>
            <w:r>
              <w:rPr>
                <w:rFonts w:ascii="MS Gothic" w:eastAsia="MS Gothic" w:hAnsi="MS Gothic"/>
                <w:sz w:val="22"/>
                <w:szCs w:val="22"/>
                <w:lang w:eastAsia="lt-LT"/>
              </w:rPr>
              <w:t>☐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C0" w:rsidRDefault="00A50BC0" w:rsidP="006D3C50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Gerai – </w:t>
            </w:r>
            <w:r>
              <w:rPr>
                <w:rFonts w:ascii="MS Gothic" w:eastAsia="MS Gothic" w:hAnsi="MS Gothic"/>
                <w:sz w:val="22"/>
                <w:szCs w:val="22"/>
                <w:lang w:eastAsia="lt-LT"/>
              </w:rPr>
              <w:t>☐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C0" w:rsidRDefault="00A50BC0" w:rsidP="006D3C50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Labai gerai – </w:t>
            </w:r>
            <w:r>
              <w:rPr>
                <w:rFonts w:ascii="MS Gothic" w:eastAsia="MS Gothic" w:hAnsi="MS Gothic"/>
                <w:b/>
                <w:sz w:val="22"/>
                <w:szCs w:val="22"/>
                <w:lang w:eastAsia="lt-LT"/>
              </w:rPr>
              <w:t>x</w:t>
            </w:r>
          </w:p>
        </w:tc>
      </w:tr>
    </w:tbl>
    <w:p w:rsidR="00A50BC0" w:rsidRDefault="00A50BC0" w:rsidP="00A50BC0">
      <w:pPr>
        <w:jc w:val="center"/>
        <w:rPr>
          <w:b/>
          <w:szCs w:val="24"/>
          <w:lang w:eastAsia="lt-LT"/>
        </w:rPr>
      </w:pPr>
    </w:p>
    <w:p w:rsidR="00502103" w:rsidRDefault="00502103">
      <w:bookmarkStart w:id="0" w:name="_GoBack"/>
      <w:bookmarkEnd w:id="0"/>
    </w:p>
    <w:sectPr w:rsidR="0050210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75"/>
    <w:rsid w:val="00502103"/>
    <w:rsid w:val="00A50BC0"/>
    <w:rsid w:val="00F7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BAD81-6BF4-407D-B76B-8C75F7F1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50B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5708</Words>
  <Characters>3254</Characters>
  <Application>Microsoft Office Word</Application>
  <DocSecurity>0</DocSecurity>
  <Lines>27</Lines>
  <Paragraphs>17</Paragraphs>
  <ScaleCrop>false</ScaleCrop>
  <Company/>
  <LinksUpToDate>false</LinksUpToDate>
  <CharactersWithSpaces>8945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„Microsoft“ abonementas</dc:creator>
  <cp:keywords/>
  <dc:description/>
  <cp:lastModifiedBy>„Microsoft“ abonementas</cp:lastModifiedBy>
  <cp:revision>2</cp:revision>
  <dcterms:created xsi:type="dcterms:W3CDTF">2023-03-13T11:18:00Z</dcterms:created>
  <dcterms:modified xsi:type="dcterms:W3CDTF">2023-03-13T11:18:00Z</dcterms:modified>
</cp:coreProperties>
</file>